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楷体" w:hAnsi="楷体" w:eastAsia="楷体" w:cs="楷体"/>
          <w:bCs/>
          <w:sz w:val="24"/>
          <w:szCs w:val="24"/>
          <w:lang w:val="en-US" w:eastAsia="zh-CN"/>
        </w:rPr>
      </w:pPr>
      <w:r>
        <w:rPr>
          <w:rFonts w:hint="eastAsia" w:ascii="楷体" w:hAnsi="楷体" w:eastAsia="楷体" w:cs="楷体"/>
          <w:bCs/>
          <w:sz w:val="24"/>
          <w:szCs w:val="24"/>
          <w:lang w:val="en-US" w:eastAsia="zh-CN"/>
        </w:rPr>
        <w:t>垃圾分类  举手之劳  变废为宝  美化校园</w:t>
      </w:r>
    </w:p>
    <w:p>
      <w:pPr>
        <w:jc w:val="center"/>
        <w:rPr>
          <w:rFonts w:hint="eastAsia"/>
          <w:lang w:val="en-US" w:eastAsia="zh-CN"/>
        </w:rPr>
      </w:pPr>
      <w:r>
        <w:rPr>
          <w:rFonts w:hint="eastAsia" w:ascii="方正小标宋简体" w:hAnsi="方正小标宋简体" w:eastAsia="方正小标宋简体" w:cs="方正小标宋简体"/>
          <w:bCs/>
          <w:sz w:val="36"/>
          <w:szCs w:val="36"/>
          <w:lang w:val="en-US" w:eastAsia="zh-CN"/>
        </w:rPr>
        <w:t>做好垃圾分类</w:t>
      </w:r>
      <w:r>
        <w:rPr>
          <w:rFonts w:hint="eastAsia"/>
          <w:lang w:val="en-US" w:eastAsia="zh-CN"/>
        </w:rPr>
        <w:t xml:space="preserve">  </w:t>
      </w:r>
      <w:r>
        <w:rPr>
          <w:rFonts w:hint="eastAsia" w:ascii="方正小标宋简体" w:hAnsi="方正小标宋简体" w:eastAsia="方正小标宋简体" w:cs="方正小标宋简体"/>
          <w:bCs/>
          <w:sz w:val="36"/>
          <w:szCs w:val="36"/>
          <w:lang w:val="en-US" w:eastAsia="zh-CN"/>
        </w:rPr>
        <w:t>共建绿色校园</w:t>
      </w:r>
    </w:p>
    <w:p>
      <w:pPr>
        <w:jc w:val="center"/>
        <w:rPr>
          <w:rFonts w:hint="eastAsia" w:ascii="方正小标宋简体" w:hAnsi="方正小标宋简体" w:eastAsia="方正小标宋简体" w:cs="方正小标宋简体"/>
          <w:bCs/>
          <w:sz w:val="32"/>
          <w:szCs w:val="32"/>
          <w:lang w:val="en-US" w:eastAsia="zh-CN"/>
        </w:rPr>
      </w:pPr>
      <w:r>
        <w:rPr>
          <w:rFonts w:hint="eastAsia" w:ascii="方正小标宋简体" w:hAnsi="方正小标宋简体" w:eastAsia="方正小标宋简体" w:cs="方正小标宋简体"/>
          <w:bCs/>
          <w:sz w:val="32"/>
          <w:szCs w:val="32"/>
          <w:lang w:val="en-US" w:eastAsia="zh-CN"/>
        </w:rPr>
        <w:t>宣传指导手册</w:t>
      </w:r>
    </w:p>
    <w:p>
      <w:pPr>
        <w:spacing w:line="520" w:lineRule="exact"/>
        <w:ind w:firstLine="640" w:firstLineChars="200"/>
        <w:rPr>
          <w:rFonts w:hint="eastAsia" w:ascii="仿宋_GB2312" w:hAnsi="Times New Roman" w:eastAsia="仿宋_GB2312"/>
          <w:sz w:val="32"/>
          <w:szCs w:val="32"/>
        </w:rPr>
      </w:pPr>
      <w:r>
        <w:rPr>
          <w:rFonts w:hint="eastAsia" w:ascii="仿宋_GB2312" w:hAnsi="Times New Roman" w:eastAsia="仿宋_GB2312"/>
          <w:sz w:val="32"/>
          <w:szCs w:val="32"/>
          <w:lang w:val="en-US" w:eastAsia="zh-CN"/>
        </w:rPr>
        <w:t>习近平总书记</w:t>
      </w:r>
      <w:r>
        <w:rPr>
          <w:rFonts w:hint="eastAsia" w:ascii="仿宋_GB2312" w:hAnsi="Times New Roman" w:eastAsia="仿宋_GB2312"/>
          <w:sz w:val="32"/>
          <w:szCs w:val="32"/>
        </w:rPr>
        <w:t>主持召开中央财经领导小组会议研究普遍推行垃圾分类制度，强调要加快建立分类投放、分类收集、分类运输、分类处理的垃圾处理系统，形成以法治为基础、政府推动、全民参与、城乡统筹、因地制宜的垃圾分类制度，努力提高垃圾分类制度覆盖范围。</w:t>
      </w:r>
    </w:p>
    <w:p>
      <w:pPr>
        <w:spacing w:line="520" w:lineRule="exact"/>
        <w:ind w:firstLine="640" w:firstLineChars="200"/>
        <w:rPr>
          <w:rFonts w:hint="eastAsia" w:ascii="仿宋_GB2312" w:hAnsi="Times New Roman" w:eastAsia="仿宋_GB2312"/>
          <w:sz w:val="32"/>
          <w:szCs w:val="32"/>
        </w:rPr>
      </w:pPr>
      <w:r>
        <w:rPr>
          <w:rFonts w:hint="eastAsia" w:ascii="仿宋_GB2312" w:hAnsi="Times New Roman" w:eastAsia="仿宋_GB2312"/>
          <w:sz w:val="32"/>
          <w:szCs w:val="32"/>
          <w:lang w:eastAsia="zh-CN"/>
        </w:rPr>
        <w:t>按照国家、省、市垃圾分类相关要求，结合学校实际，积极探索可复制、可推广的分类模式，</w:t>
      </w:r>
      <w:r>
        <w:rPr>
          <w:rFonts w:hint="eastAsia" w:ascii="仿宋_GB2312" w:hAnsi="Times New Roman" w:eastAsia="仿宋_GB2312"/>
          <w:sz w:val="32"/>
          <w:szCs w:val="32"/>
        </w:rPr>
        <w:t>营造人人具有绿色意识、绿色行为、绿色创造、遵守公德、互助互爱的绿色高校。</w:t>
      </w:r>
    </w:p>
    <w:p>
      <w:pPr>
        <w:spacing w:line="520" w:lineRule="exact"/>
        <w:ind w:firstLine="640" w:firstLineChars="200"/>
        <w:rPr>
          <w:rFonts w:hint="eastAsia" w:ascii="仿宋_GB2312" w:hAnsi="Times New Roman" w:eastAsia="仿宋_GB2312"/>
          <w:sz w:val="32"/>
          <w:szCs w:val="32"/>
        </w:rPr>
      </w:pPr>
    </w:p>
    <w:p>
      <w:pPr>
        <w:spacing w:line="520" w:lineRule="exact"/>
        <w:ind w:firstLine="643" w:firstLineChars="200"/>
        <w:jc w:val="center"/>
        <w:rPr>
          <w:rFonts w:hint="eastAsia" w:ascii="仿宋_GB2312" w:hAnsi="Times New Roman" w:eastAsia="仿宋_GB2312"/>
          <w:b/>
          <w:bCs/>
          <w:sz w:val="32"/>
          <w:szCs w:val="32"/>
          <w:lang w:eastAsia="zh-CN"/>
        </w:rPr>
      </w:pPr>
      <w:r>
        <w:rPr>
          <w:rFonts w:hint="eastAsia" w:ascii="仿宋_GB2312" w:hAnsi="Times New Roman" w:eastAsia="仿宋_GB2312"/>
          <w:b/>
          <w:bCs/>
          <w:sz w:val="32"/>
          <w:szCs w:val="32"/>
          <w:lang w:eastAsia="zh-CN"/>
        </w:rPr>
        <w:t>目录</w:t>
      </w:r>
    </w:p>
    <w:p>
      <w:pPr>
        <w:spacing w:line="520" w:lineRule="exact"/>
        <w:ind w:firstLine="640" w:firstLineChars="200"/>
        <w:rPr>
          <w:rFonts w:hint="eastAsia" w:ascii="仿宋_GB2312" w:hAnsi="Times New Roman" w:eastAsia="仿宋_GB2312"/>
          <w:sz w:val="32"/>
          <w:szCs w:val="32"/>
          <w:lang w:eastAsia="zh-CN"/>
        </w:rPr>
      </w:pPr>
      <w:r>
        <w:rPr>
          <w:rFonts w:hint="eastAsia" w:ascii="仿宋_GB2312" w:hAnsi="Times New Roman" w:eastAsia="仿宋_GB2312"/>
          <w:sz w:val="32"/>
          <w:szCs w:val="32"/>
          <w:lang w:eastAsia="zh-CN"/>
        </w:rPr>
        <w:t>一、什么是垃圾分类？</w:t>
      </w:r>
    </w:p>
    <w:p>
      <w:pPr>
        <w:spacing w:line="520" w:lineRule="exact"/>
        <w:ind w:firstLine="640" w:firstLineChars="200"/>
        <w:rPr>
          <w:rFonts w:hint="eastAsia" w:ascii="仿宋_GB2312" w:hAnsi="Times New Roman" w:eastAsia="仿宋_GB2312"/>
          <w:sz w:val="32"/>
          <w:szCs w:val="32"/>
          <w:lang w:eastAsia="zh-CN"/>
        </w:rPr>
      </w:pPr>
      <w:r>
        <w:rPr>
          <w:rFonts w:hint="eastAsia" w:ascii="仿宋_GB2312" w:hAnsi="Times New Roman" w:eastAsia="仿宋_GB2312"/>
          <w:sz w:val="32"/>
          <w:szCs w:val="32"/>
          <w:lang w:eastAsia="zh-CN"/>
        </w:rPr>
        <w:t>二、《</w:t>
      </w:r>
      <w:r>
        <w:rPr>
          <w:rFonts w:hint="eastAsia" w:ascii="仿宋_GB2312" w:hAnsi="Times New Roman" w:eastAsia="仿宋_GB2312"/>
          <w:sz w:val="32"/>
          <w:szCs w:val="32"/>
          <w:lang w:val="en-US" w:eastAsia="zh-CN"/>
        </w:rPr>
        <w:t>武汉市生活垃圾分类管理办法</w:t>
      </w:r>
      <w:r>
        <w:rPr>
          <w:rFonts w:hint="eastAsia" w:ascii="仿宋_GB2312" w:hAnsi="Times New Roman" w:eastAsia="仿宋_GB2312"/>
          <w:sz w:val="32"/>
          <w:szCs w:val="32"/>
          <w:lang w:eastAsia="zh-CN"/>
        </w:rPr>
        <w:t>》</w:t>
      </w:r>
    </w:p>
    <w:p>
      <w:pPr>
        <w:spacing w:line="520" w:lineRule="exact"/>
        <w:ind w:firstLine="640" w:firstLineChars="200"/>
        <w:rPr>
          <w:rFonts w:hint="eastAsia" w:ascii="仿宋_GB2312" w:hAnsi="Times New Roman" w:eastAsia="仿宋_GB2312"/>
          <w:sz w:val="32"/>
          <w:szCs w:val="32"/>
          <w:lang w:eastAsia="zh-CN"/>
        </w:rPr>
      </w:pPr>
      <w:r>
        <w:rPr>
          <w:rFonts w:hint="eastAsia" w:ascii="仿宋_GB2312" w:hAnsi="Times New Roman" w:eastAsia="仿宋_GB2312"/>
          <w:sz w:val="32"/>
          <w:szCs w:val="32"/>
          <w:lang w:eastAsia="zh-CN"/>
        </w:rPr>
        <w:t>三、校内生活垃圾实施四分类</w:t>
      </w:r>
    </w:p>
    <w:p>
      <w:pPr>
        <w:spacing w:line="520" w:lineRule="exact"/>
        <w:ind w:firstLine="640" w:firstLineChars="200"/>
        <w:rPr>
          <w:rFonts w:hint="eastAsia" w:ascii="仿宋_GB2312" w:hAnsi="Times New Roman" w:eastAsia="仿宋_GB2312"/>
          <w:sz w:val="32"/>
          <w:szCs w:val="32"/>
          <w:lang w:eastAsia="zh-CN"/>
        </w:rPr>
      </w:pPr>
      <w:r>
        <w:rPr>
          <w:rFonts w:hint="eastAsia" w:ascii="仿宋_GB2312" w:hAnsi="Times New Roman" w:eastAsia="仿宋_GB2312"/>
          <w:sz w:val="32"/>
          <w:szCs w:val="32"/>
          <w:lang w:eastAsia="zh-CN"/>
        </w:rPr>
        <w:t>四、校内生活垃圾分类投放要求</w:t>
      </w:r>
    </w:p>
    <w:p>
      <w:pPr>
        <w:spacing w:line="520" w:lineRule="exact"/>
        <w:ind w:firstLine="640" w:firstLineChars="200"/>
        <w:rPr>
          <w:rFonts w:hint="eastAsia" w:ascii="仿宋_GB2312" w:hAnsi="Times New Roman" w:eastAsia="仿宋_GB2312"/>
          <w:sz w:val="32"/>
          <w:szCs w:val="32"/>
          <w:lang w:eastAsia="zh-CN"/>
        </w:rPr>
      </w:pPr>
      <w:r>
        <w:rPr>
          <w:rFonts w:hint="eastAsia" w:ascii="仿宋_GB2312" w:hAnsi="Times New Roman" w:eastAsia="仿宋_GB2312"/>
          <w:sz w:val="32"/>
          <w:szCs w:val="32"/>
          <w:lang w:eastAsia="zh-CN"/>
        </w:rPr>
        <w:t>五、垃圾减量，我们可以做更多</w:t>
      </w:r>
    </w:p>
    <w:p>
      <w:pPr>
        <w:jc w:val="both"/>
        <w:rPr>
          <w:rFonts w:hint="eastAsia"/>
          <w:lang w:val="en-US" w:eastAsia="zh-CN"/>
        </w:rPr>
      </w:pPr>
    </w:p>
    <w:p>
      <w:pPr>
        <w:jc w:val="both"/>
        <w:rPr>
          <w:rFonts w:hint="eastAsia"/>
          <w:lang w:val="en-US" w:eastAsia="zh-CN"/>
        </w:rPr>
      </w:pPr>
    </w:p>
    <w:p>
      <w:pPr>
        <w:spacing w:line="520" w:lineRule="exact"/>
        <w:ind w:firstLine="643" w:firstLineChars="200"/>
        <w:jc w:val="center"/>
        <w:rPr>
          <w:rFonts w:hint="eastAsia" w:ascii="仿宋_GB2312" w:hAnsi="Times New Roman" w:eastAsia="仿宋_GB2312"/>
          <w:b/>
          <w:bCs/>
          <w:sz w:val="32"/>
          <w:szCs w:val="32"/>
          <w:lang w:val="en-US" w:eastAsia="zh-CN"/>
        </w:rPr>
      </w:pPr>
      <w:r>
        <w:rPr>
          <w:rFonts w:hint="eastAsia" w:ascii="仿宋_GB2312" w:hAnsi="Times New Roman" w:eastAsia="仿宋_GB2312"/>
          <w:b/>
          <w:bCs/>
          <w:sz w:val="32"/>
          <w:szCs w:val="32"/>
          <w:lang w:val="en-US" w:eastAsia="zh-CN"/>
        </w:rPr>
        <w:t>一、什么是垃圾分类</w:t>
      </w:r>
    </w:p>
    <w:p>
      <w:pPr>
        <w:spacing w:line="520" w:lineRule="exact"/>
        <w:ind w:firstLine="640" w:firstLineChars="200"/>
        <w:rPr>
          <w:rFonts w:hint="eastAsia" w:ascii="仿宋_GB2312" w:hAnsi="Times New Roman" w:eastAsia="仿宋_GB2312"/>
          <w:sz w:val="32"/>
          <w:szCs w:val="32"/>
          <w:lang w:val="en-US" w:eastAsia="zh-CN"/>
        </w:rPr>
      </w:pPr>
      <w:r>
        <w:rPr>
          <w:rFonts w:hint="eastAsia" w:ascii="仿宋_GB2312" w:hAnsi="Times New Roman" w:eastAsia="仿宋_GB2312"/>
          <w:sz w:val="32"/>
          <w:szCs w:val="32"/>
          <w:lang w:val="en-US" w:eastAsia="zh-CN"/>
        </w:rPr>
        <w:t>垃圾分类是按照垃圾不同的成分、属性，利用价值以及对环境的影响，并根据不同处置方式的要求，分成属性不同的若干种类。也就是在源头上将垃圾分类投放，通过分类收集、分类运输、分类处理、实现垃圾减量化、资源化、无害化。</w:t>
      </w:r>
    </w:p>
    <w:p>
      <w:pPr>
        <w:spacing w:line="520" w:lineRule="exact"/>
        <w:ind w:firstLine="640" w:firstLineChars="200"/>
        <w:rPr>
          <w:rFonts w:hint="eastAsia" w:ascii="仿宋_GB2312" w:hAnsi="Times New Roman" w:eastAsia="仿宋_GB2312"/>
          <w:sz w:val="32"/>
          <w:szCs w:val="32"/>
          <w:lang w:val="en-US" w:eastAsia="zh-CN"/>
        </w:rPr>
      </w:pPr>
    </w:p>
    <w:p>
      <w:pPr>
        <w:spacing w:line="520" w:lineRule="exact"/>
        <w:ind w:firstLine="640" w:firstLineChars="200"/>
        <w:rPr>
          <w:rFonts w:hint="eastAsia" w:ascii="仿宋_GB2312" w:hAnsi="Times New Roman" w:eastAsia="仿宋_GB2312"/>
          <w:sz w:val="32"/>
          <w:szCs w:val="32"/>
          <w:lang w:val="en-US" w:eastAsia="zh-CN"/>
        </w:rPr>
      </w:pPr>
    </w:p>
    <w:p>
      <w:pPr>
        <w:numPr>
          <w:ilvl w:val="0"/>
          <w:numId w:val="0"/>
        </w:numPr>
        <w:jc w:val="both"/>
        <w:rPr>
          <w:rFonts w:hint="eastAsia"/>
          <w:lang w:val="en-US" w:eastAsia="zh-CN"/>
        </w:rPr>
      </w:pPr>
    </w:p>
    <w:p>
      <w:pPr>
        <w:spacing w:line="520" w:lineRule="exact"/>
        <w:ind w:firstLine="643" w:firstLineChars="200"/>
        <w:rPr>
          <w:rFonts w:hint="eastAsia" w:ascii="仿宋_GB2312" w:hAnsi="Times New Roman" w:eastAsia="仿宋_GB2312"/>
          <w:b/>
          <w:bCs/>
          <w:sz w:val="32"/>
          <w:szCs w:val="32"/>
          <w:lang w:val="en-US" w:eastAsia="zh-CN"/>
        </w:rPr>
      </w:pPr>
      <w:r>
        <w:rPr>
          <w:rFonts w:hint="eastAsia" w:ascii="仿宋_GB2312" w:hAnsi="Times New Roman" w:eastAsia="仿宋_GB2312"/>
          <w:b/>
          <w:bCs/>
          <w:sz w:val="32"/>
          <w:szCs w:val="32"/>
          <w:lang w:val="en-US" w:eastAsia="zh-CN"/>
        </w:rPr>
        <w:t>分类的目的</w:t>
      </w:r>
    </w:p>
    <w:p>
      <w:pPr>
        <w:spacing w:line="520" w:lineRule="exact"/>
        <w:ind w:firstLine="640" w:firstLineChars="200"/>
        <w:rPr>
          <w:rFonts w:hint="eastAsia" w:ascii="仿宋_GB2312" w:hAnsi="Times New Roman" w:eastAsia="仿宋_GB2312"/>
          <w:sz w:val="32"/>
          <w:szCs w:val="32"/>
          <w:lang w:val="en-US" w:eastAsia="zh-CN"/>
        </w:rPr>
      </w:pPr>
      <w:r>
        <w:rPr>
          <w:rFonts w:hint="eastAsia" w:ascii="仿宋_GB2312" w:hAnsi="Times New Roman" w:eastAsia="仿宋_GB2312"/>
          <w:sz w:val="32"/>
          <w:szCs w:val="32"/>
          <w:lang w:val="en-US" w:eastAsia="zh-CN"/>
        </w:rPr>
        <w:t>1.减量化  减少垃圾产生量</w:t>
      </w:r>
    </w:p>
    <w:p>
      <w:pPr>
        <w:spacing w:line="520" w:lineRule="exact"/>
        <w:ind w:firstLine="640" w:firstLineChars="200"/>
        <w:rPr>
          <w:rFonts w:hint="eastAsia" w:ascii="仿宋_GB2312" w:hAnsi="Times New Roman" w:eastAsia="仿宋_GB2312"/>
          <w:sz w:val="32"/>
          <w:szCs w:val="32"/>
          <w:lang w:val="en-US" w:eastAsia="zh-CN"/>
        </w:rPr>
      </w:pPr>
      <w:r>
        <w:rPr>
          <w:rFonts w:hint="eastAsia" w:ascii="仿宋_GB2312" w:hAnsi="Times New Roman" w:eastAsia="仿宋_GB2312"/>
          <w:sz w:val="32"/>
          <w:szCs w:val="32"/>
          <w:lang w:val="en-US" w:eastAsia="zh-CN"/>
        </w:rPr>
        <w:t>2.资源化  回收利用  变废为宝</w:t>
      </w:r>
    </w:p>
    <w:p>
      <w:pPr>
        <w:spacing w:line="520" w:lineRule="exact"/>
        <w:ind w:firstLine="640" w:firstLineChars="200"/>
        <w:rPr>
          <w:rFonts w:hint="eastAsia" w:ascii="仿宋_GB2312" w:hAnsi="Times New Roman" w:eastAsia="仿宋_GB2312"/>
          <w:b/>
          <w:bCs/>
          <w:sz w:val="32"/>
          <w:szCs w:val="32"/>
          <w:lang w:val="en-US" w:eastAsia="zh-CN"/>
        </w:rPr>
      </w:pPr>
      <w:r>
        <w:rPr>
          <w:rFonts w:hint="eastAsia" w:ascii="仿宋_GB2312" w:hAnsi="Times New Roman" w:eastAsia="仿宋_GB2312"/>
          <w:sz w:val="32"/>
          <w:szCs w:val="32"/>
          <w:lang w:val="en-US" w:eastAsia="zh-CN"/>
        </w:rPr>
        <w:t>3.无害化  防治污染  保护健康</w:t>
      </w:r>
    </w:p>
    <w:p>
      <w:pPr>
        <w:keepNext w:val="0"/>
        <w:keepLines w:val="0"/>
        <w:widowControl/>
        <w:suppressLineNumbers w:val="0"/>
        <w:jc w:val="left"/>
        <w:rPr>
          <w:rFonts w:hint="eastAsia" w:ascii="仿宋_GB2312" w:hAnsi="Times New Roman" w:eastAsia="仿宋_GB2312"/>
          <w:b/>
          <w:bCs/>
          <w:sz w:val="32"/>
          <w:szCs w:val="32"/>
          <w:lang w:val="en-US" w:eastAsia="zh-CN"/>
        </w:rPr>
      </w:pPr>
      <w:r>
        <w:rPr>
          <w:rFonts w:ascii="宋体" w:hAnsi="宋体" w:eastAsia="宋体" w:cs="宋体"/>
          <w:kern w:val="0"/>
          <w:sz w:val="24"/>
          <w:szCs w:val="24"/>
          <w:lang w:val="en-US" w:eastAsia="zh-CN" w:bidi="ar"/>
        </w:rPr>
        <w:drawing>
          <wp:inline distT="0" distB="0" distL="114300" distR="114300">
            <wp:extent cx="5125085" cy="1666875"/>
            <wp:effectExtent l="0" t="0" r="18415" b="9525"/>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4"/>
                    <a:stretch>
                      <a:fillRect/>
                    </a:stretch>
                  </pic:blipFill>
                  <pic:spPr>
                    <a:xfrm>
                      <a:off x="0" y="0"/>
                      <a:ext cx="5125085" cy="1666875"/>
                    </a:xfrm>
                    <a:prstGeom prst="rect">
                      <a:avLst/>
                    </a:prstGeom>
                    <a:noFill/>
                    <a:ln w="9525">
                      <a:noFill/>
                    </a:ln>
                  </pic:spPr>
                </pic:pic>
              </a:graphicData>
            </a:graphic>
          </wp:inline>
        </w:drawing>
      </w:r>
    </w:p>
    <w:p>
      <w:pPr>
        <w:spacing w:line="520" w:lineRule="exact"/>
        <w:ind w:firstLine="640" w:firstLineChars="200"/>
        <w:rPr>
          <w:rFonts w:hint="eastAsia" w:ascii="仿宋_GB2312" w:hAnsi="Times New Roman" w:eastAsia="仿宋_GB2312"/>
          <w:sz w:val="32"/>
          <w:szCs w:val="32"/>
          <w:lang w:val="en-US" w:eastAsia="zh-CN"/>
        </w:rPr>
      </w:pPr>
    </w:p>
    <w:p>
      <w:pPr>
        <w:spacing w:line="520" w:lineRule="exact"/>
        <w:ind w:firstLine="643" w:firstLineChars="200"/>
        <w:rPr>
          <w:rFonts w:hint="eastAsia" w:ascii="仿宋_GB2312" w:hAnsi="Times New Roman" w:eastAsia="仿宋_GB2312"/>
          <w:b/>
          <w:bCs/>
          <w:sz w:val="32"/>
          <w:szCs w:val="32"/>
          <w:lang w:val="en-US" w:eastAsia="zh-CN"/>
        </w:rPr>
      </w:pPr>
      <w:r>
        <w:rPr>
          <w:rFonts w:hint="eastAsia" w:ascii="仿宋_GB2312" w:hAnsi="Times New Roman" w:eastAsia="仿宋_GB2312"/>
          <w:b/>
          <w:bCs/>
          <w:sz w:val="32"/>
          <w:szCs w:val="32"/>
          <w:lang w:val="en-US" w:eastAsia="zh-CN"/>
        </w:rPr>
        <w:t>分类的途径</w:t>
      </w:r>
    </w:p>
    <w:p>
      <w:pPr>
        <w:spacing w:line="520" w:lineRule="exact"/>
        <w:ind w:firstLine="640" w:firstLineChars="200"/>
        <w:rPr>
          <w:rFonts w:hint="eastAsia" w:ascii="仿宋_GB2312" w:hAnsi="Times New Roman" w:eastAsia="仿宋_GB2312"/>
          <w:sz w:val="32"/>
          <w:szCs w:val="32"/>
          <w:lang w:val="en-US" w:eastAsia="zh-CN"/>
        </w:rPr>
      </w:pPr>
      <w:r>
        <w:rPr>
          <w:rFonts w:hint="eastAsia" w:ascii="仿宋_GB2312" w:hAnsi="Times New Roman" w:eastAsia="仿宋_GB2312"/>
          <w:sz w:val="32"/>
          <w:szCs w:val="32"/>
          <w:lang w:val="en-US" w:eastAsia="zh-CN"/>
        </w:rPr>
        <w:t>分类投放   分类收集   分类处置   分类运输</w:t>
      </w:r>
    </w:p>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3689350" cy="2828925"/>
            <wp:effectExtent l="0" t="0" r="6350" b="9525"/>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5"/>
                    <a:stretch>
                      <a:fillRect/>
                    </a:stretch>
                  </pic:blipFill>
                  <pic:spPr>
                    <a:xfrm>
                      <a:off x="0" y="0"/>
                      <a:ext cx="3689350" cy="2828925"/>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p>
    <w:p>
      <w:pPr>
        <w:numPr>
          <w:ilvl w:val="0"/>
          <w:numId w:val="0"/>
        </w:numPr>
        <w:jc w:val="both"/>
        <w:rPr>
          <w:rFonts w:hint="eastAsia"/>
          <w:lang w:val="en-US" w:eastAsia="zh-CN"/>
        </w:rPr>
      </w:pPr>
    </w:p>
    <w:p>
      <w:pPr>
        <w:spacing w:line="520" w:lineRule="exact"/>
        <w:ind w:firstLine="643" w:firstLineChars="200"/>
        <w:jc w:val="center"/>
        <w:rPr>
          <w:rFonts w:hint="eastAsia" w:ascii="仿宋_GB2312" w:hAnsi="Times New Roman" w:eastAsia="仿宋_GB2312"/>
          <w:b/>
          <w:bCs/>
          <w:sz w:val="32"/>
          <w:szCs w:val="32"/>
          <w:lang w:val="en-US" w:eastAsia="zh-CN"/>
        </w:rPr>
      </w:pPr>
      <w:r>
        <w:rPr>
          <w:rFonts w:hint="eastAsia" w:ascii="仿宋_GB2312" w:hAnsi="Times New Roman" w:eastAsia="仿宋_GB2312"/>
          <w:b/>
          <w:bCs/>
          <w:sz w:val="32"/>
          <w:szCs w:val="32"/>
          <w:lang w:val="en-US" w:eastAsia="zh-CN"/>
        </w:rPr>
        <w:t>二、武汉市生活垃圾分类管理办法</w:t>
      </w:r>
    </w:p>
    <w:p>
      <w:pPr>
        <w:spacing w:line="520" w:lineRule="exact"/>
        <w:ind w:firstLine="640" w:firstLineChars="200"/>
        <w:jc w:val="center"/>
        <w:rPr>
          <w:rFonts w:hint="eastAsia" w:ascii="仿宋_GB2312" w:hAnsi="Times New Roman" w:eastAsia="仿宋_GB2312"/>
          <w:sz w:val="32"/>
          <w:szCs w:val="32"/>
          <w:lang w:val="en-US" w:eastAsia="zh-CN"/>
        </w:rPr>
      </w:pPr>
      <w:r>
        <w:rPr>
          <w:rFonts w:hint="eastAsia" w:ascii="仿宋_GB2312" w:hAnsi="Times New Roman" w:eastAsia="仿宋_GB2312"/>
          <w:sz w:val="32"/>
          <w:szCs w:val="32"/>
          <w:lang w:val="en-US" w:eastAsia="zh-CN"/>
        </w:rPr>
        <w:t>自2020年7月1日正式实施</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278120" cy="3731260"/>
            <wp:effectExtent l="0" t="0" r="17780" b="254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tretch>
                      <a:fillRect/>
                    </a:stretch>
                  </pic:blipFill>
                  <pic:spPr>
                    <a:xfrm>
                      <a:off x="0" y="0"/>
                      <a:ext cx="5278120" cy="3731260"/>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p>
    <w:p>
      <w:pPr>
        <w:numPr>
          <w:ilvl w:val="0"/>
          <w:numId w:val="0"/>
        </w:numPr>
        <w:jc w:val="both"/>
        <w:rPr>
          <w:rFonts w:hint="eastAsia"/>
          <w:lang w:val="en-US" w:eastAsia="zh-CN"/>
        </w:rPr>
      </w:pPr>
    </w:p>
    <w:p>
      <w:pPr>
        <w:numPr>
          <w:ilvl w:val="0"/>
          <w:numId w:val="0"/>
        </w:numPr>
        <w:jc w:val="both"/>
        <w:rPr>
          <w:rFonts w:hint="eastAsia"/>
          <w:lang w:val="en-US" w:eastAsia="zh-CN"/>
        </w:rPr>
      </w:pPr>
      <w:r>
        <w:rPr>
          <w:rFonts w:hint="eastAsia" w:ascii="仿宋_GB2312" w:hAnsi="Times New Roman" w:eastAsia="仿宋_GB2312"/>
          <w:b/>
          <w:bCs/>
          <w:sz w:val="32"/>
          <w:szCs w:val="32"/>
          <w:lang w:val="en-US" w:eastAsia="zh-CN"/>
        </w:rPr>
        <w:t xml:space="preserve">总体要求 </w:t>
      </w:r>
      <w:r>
        <w:rPr>
          <w:rFonts w:hint="eastAsia"/>
          <w:lang w:val="en-US" w:eastAsia="zh-CN"/>
        </w:rPr>
        <w:t xml:space="preserve"> </w:t>
      </w:r>
    </w:p>
    <w:p>
      <w:pPr>
        <w:spacing w:line="520" w:lineRule="exact"/>
        <w:ind w:firstLine="640" w:firstLineChars="200"/>
        <w:jc w:val="left"/>
        <w:rPr>
          <w:rFonts w:hint="eastAsia" w:ascii="仿宋_GB2312" w:hAnsi="Times New Roman" w:eastAsia="仿宋_GB2312"/>
          <w:sz w:val="32"/>
          <w:szCs w:val="32"/>
          <w:lang w:val="en-US" w:eastAsia="zh-CN"/>
        </w:rPr>
      </w:pPr>
      <w:r>
        <w:rPr>
          <w:rFonts w:hint="eastAsia" w:ascii="仿宋_GB2312" w:hAnsi="Times New Roman" w:eastAsia="仿宋_GB2312"/>
          <w:sz w:val="32"/>
          <w:szCs w:val="32"/>
          <w:lang w:val="en-US" w:eastAsia="zh-CN"/>
        </w:rPr>
        <w:t>按照“政府主导、协调联动，统筹发展、系统推进，全面参与、整合资源，统一规划、分步实施”的原则，以区为主、部门协同，构建“分工明确、责任落实、监督有力”的市、区两级生活垃圾分类的工作机制。制定出台生活垃圾分类正常及相关管理规范，充分发挥市场作用，全面有序推进我市生活垃圾分类工作。</w:t>
      </w:r>
    </w:p>
    <w:p>
      <w:pPr>
        <w:numPr>
          <w:ilvl w:val="0"/>
          <w:numId w:val="0"/>
        </w:numPr>
        <w:jc w:val="both"/>
        <w:rPr>
          <w:rFonts w:hint="eastAsia" w:ascii="仿宋_GB2312" w:hAnsi="Times New Roman" w:eastAsia="仿宋_GB2312"/>
          <w:b/>
          <w:bCs/>
          <w:sz w:val="32"/>
          <w:szCs w:val="32"/>
          <w:lang w:val="en-US" w:eastAsia="zh-CN"/>
        </w:rPr>
      </w:pPr>
      <w:r>
        <w:rPr>
          <w:rFonts w:hint="eastAsia" w:ascii="仿宋_GB2312" w:hAnsi="Times New Roman" w:eastAsia="仿宋_GB2312"/>
          <w:b/>
          <w:bCs/>
          <w:sz w:val="32"/>
          <w:szCs w:val="32"/>
          <w:lang w:val="en-US" w:eastAsia="zh-CN"/>
        </w:rPr>
        <w:t>主要目标</w:t>
      </w:r>
    </w:p>
    <w:p>
      <w:pPr>
        <w:spacing w:line="520" w:lineRule="exact"/>
        <w:ind w:firstLine="640" w:firstLineChars="200"/>
        <w:jc w:val="left"/>
        <w:rPr>
          <w:rFonts w:hint="eastAsia" w:ascii="仿宋_GB2312" w:hAnsi="Times New Roman" w:eastAsia="仿宋_GB2312"/>
          <w:sz w:val="32"/>
          <w:szCs w:val="32"/>
          <w:lang w:val="en-US" w:eastAsia="zh-CN"/>
        </w:rPr>
      </w:pPr>
      <w:r>
        <w:rPr>
          <w:rFonts w:hint="eastAsia" w:ascii="仿宋_GB2312" w:hAnsi="Times New Roman" w:eastAsia="仿宋_GB2312"/>
          <w:sz w:val="32"/>
          <w:szCs w:val="32"/>
          <w:lang w:val="en-US" w:eastAsia="zh-CN"/>
        </w:rPr>
        <w:t>至2020年底，单位（公共机构和相关企业）生活垃圾强制分类全覆盖；社区和行政村生活垃圾分类覆盖率达到85%以上。生活垃圾回收利用率达到38%，显著提升生活垃圾资源回收利用水平。生活垃圾无害化处理保持100%，基本实现原生态垃圾零填埋。</w:t>
      </w:r>
    </w:p>
    <w:p>
      <w:pPr>
        <w:spacing w:line="520" w:lineRule="exact"/>
        <w:ind w:firstLine="640" w:firstLineChars="200"/>
        <w:jc w:val="left"/>
        <w:rPr>
          <w:rFonts w:hint="eastAsia" w:ascii="仿宋_GB2312" w:hAnsi="Times New Roman" w:eastAsia="仿宋_GB2312"/>
          <w:sz w:val="32"/>
          <w:szCs w:val="32"/>
          <w:lang w:val="en-US" w:eastAsia="zh-CN"/>
        </w:rPr>
      </w:pPr>
    </w:p>
    <w:p>
      <w:pPr>
        <w:numPr>
          <w:ilvl w:val="0"/>
          <w:numId w:val="0"/>
        </w:numPr>
        <w:jc w:val="both"/>
        <w:rPr>
          <w:rFonts w:hint="eastAsia"/>
          <w:lang w:val="en-US" w:eastAsia="zh-CN"/>
        </w:rPr>
      </w:pPr>
    </w:p>
    <w:p>
      <w:pPr>
        <w:numPr>
          <w:ilvl w:val="0"/>
          <w:numId w:val="0"/>
        </w:numPr>
        <w:jc w:val="center"/>
        <w:rPr>
          <w:rFonts w:hint="eastAsia" w:ascii="仿宋_GB2312" w:hAnsi="Times New Roman" w:eastAsia="仿宋_GB2312"/>
          <w:b/>
          <w:bCs/>
          <w:sz w:val="32"/>
          <w:szCs w:val="32"/>
          <w:lang w:val="en-US" w:eastAsia="zh-CN"/>
        </w:rPr>
      </w:pPr>
      <w:r>
        <w:rPr>
          <w:rFonts w:hint="eastAsia" w:ascii="仿宋_GB2312" w:hAnsi="Times New Roman" w:eastAsia="仿宋_GB2312"/>
          <w:b/>
          <w:bCs/>
          <w:sz w:val="32"/>
          <w:szCs w:val="32"/>
          <w:lang w:val="en-US" w:eastAsia="zh-CN"/>
        </w:rPr>
        <w:t>三、校内生活垃圾实施四分类：可回收物 有害垃圾 厨余垃圾 其他垃圾</w:t>
      </w:r>
    </w:p>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4657725" cy="800100"/>
            <wp:effectExtent l="0" t="0" r="9525" b="0"/>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7"/>
                    <a:stretch>
                      <a:fillRect/>
                    </a:stretch>
                  </pic:blipFill>
                  <pic:spPr>
                    <a:xfrm>
                      <a:off x="0" y="0"/>
                      <a:ext cx="4657725" cy="800100"/>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4705350" cy="1076325"/>
            <wp:effectExtent l="0" t="0" r="0" b="9525"/>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8"/>
                    <a:stretch>
                      <a:fillRect/>
                    </a:stretch>
                  </pic:blipFill>
                  <pic:spPr>
                    <a:xfrm>
                      <a:off x="0" y="0"/>
                      <a:ext cx="4705350" cy="1076325"/>
                    </a:xfrm>
                    <a:prstGeom prst="rect">
                      <a:avLst/>
                    </a:prstGeom>
                    <a:noFill/>
                    <a:ln w="9525">
                      <a:noFill/>
                    </a:ln>
                  </pic:spPr>
                </pic:pic>
              </a:graphicData>
            </a:graphic>
          </wp:inline>
        </w:drawing>
      </w:r>
    </w:p>
    <w:p>
      <w:pPr>
        <w:numPr>
          <w:ilvl w:val="0"/>
          <w:numId w:val="0"/>
        </w:numPr>
        <w:jc w:val="center"/>
        <w:rPr>
          <w:rFonts w:hint="eastAsia" w:ascii="仿宋_GB2312" w:hAnsi="Times New Roman" w:eastAsia="仿宋_GB2312"/>
          <w:b/>
          <w:bCs/>
          <w:sz w:val="32"/>
          <w:szCs w:val="32"/>
          <w:lang w:val="en-US" w:eastAsia="zh-CN"/>
        </w:rPr>
      </w:pPr>
    </w:p>
    <w:p>
      <w:pPr>
        <w:spacing w:line="520" w:lineRule="exact"/>
        <w:ind w:firstLine="643" w:firstLineChars="200"/>
        <w:jc w:val="left"/>
        <w:rPr>
          <w:rFonts w:hint="eastAsia" w:ascii="仿宋_GB2312" w:hAnsi="Times New Roman" w:eastAsia="仿宋_GB2312"/>
          <w:b w:val="0"/>
          <w:bCs w:val="0"/>
          <w:sz w:val="32"/>
          <w:szCs w:val="32"/>
          <w:lang w:val="en-US" w:eastAsia="zh-CN"/>
        </w:rPr>
      </w:pPr>
      <w:r>
        <w:rPr>
          <w:rFonts w:hint="eastAsia" w:ascii="仿宋_GB2312" w:hAnsi="Times New Roman" w:eastAsia="仿宋_GB2312"/>
          <w:b/>
          <w:bCs/>
          <w:sz w:val="32"/>
          <w:szCs w:val="32"/>
          <w:lang w:val="en-US" w:eastAsia="zh-CN"/>
        </w:rPr>
        <w:t>可回收物</w:t>
      </w:r>
      <w:r>
        <w:rPr>
          <w:rFonts w:hint="eastAsia" w:ascii="仿宋_GB2312" w:hAnsi="Times New Roman" w:eastAsia="仿宋_GB2312"/>
          <w:b w:val="0"/>
          <w:bCs w:val="0"/>
          <w:sz w:val="32"/>
          <w:szCs w:val="32"/>
          <w:lang w:val="en-US" w:eastAsia="zh-CN"/>
        </w:rPr>
        <w:t>：主要包括废纸张、废塑料、废金属、废玻璃制品、废织物等适宜回收、可循环利用的生活废弃物。</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443855" cy="2677160"/>
            <wp:effectExtent l="0" t="0" r="4445" b="889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9"/>
                    <a:stretch>
                      <a:fillRect/>
                    </a:stretch>
                  </pic:blipFill>
                  <pic:spPr>
                    <a:xfrm>
                      <a:off x="0" y="0"/>
                      <a:ext cx="5443855" cy="2677160"/>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133340" cy="5815330"/>
            <wp:effectExtent l="0" t="0" r="10160" b="13970"/>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10"/>
                    <a:stretch>
                      <a:fillRect/>
                    </a:stretch>
                  </pic:blipFill>
                  <pic:spPr>
                    <a:xfrm>
                      <a:off x="0" y="0"/>
                      <a:ext cx="5133340" cy="5815330"/>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p>
    <w:p>
      <w:pPr>
        <w:spacing w:line="520" w:lineRule="exact"/>
        <w:ind w:firstLine="643" w:firstLineChars="200"/>
        <w:jc w:val="left"/>
        <w:rPr>
          <w:rFonts w:hint="eastAsia" w:ascii="仿宋_GB2312" w:hAnsi="Times New Roman" w:eastAsia="仿宋_GB2312"/>
          <w:b/>
          <w:bCs/>
          <w:sz w:val="32"/>
          <w:szCs w:val="32"/>
          <w:lang w:val="en-US" w:eastAsia="zh-CN"/>
        </w:rPr>
      </w:pPr>
    </w:p>
    <w:p>
      <w:pPr>
        <w:spacing w:line="520" w:lineRule="exact"/>
        <w:ind w:firstLine="643" w:firstLineChars="200"/>
        <w:jc w:val="left"/>
        <w:rPr>
          <w:rFonts w:hint="eastAsia" w:ascii="仿宋_GB2312" w:hAnsi="Times New Roman" w:eastAsia="仿宋_GB2312"/>
          <w:b w:val="0"/>
          <w:bCs w:val="0"/>
          <w:sz w:val="32"/>
          <w:szCs w:val="32"/>
          <w:lang w:val="en-US" w:eastAsia="zh-CN"/>
        </w:rPr>
      </w:pPr>
      <w:r>
        <w:rPr>
          <w:rFonts w:hint="eastAsia" w:ascii="仿宋_GB2312" w:hAnsi="Times New Roman" w:eastAsia="仿宋_GB2312"/>
          <w:b/>
          <w:bCs/>
          <w:sz w:val="32"/>
          <w:szCs w:val="32"/>
          <w:lang w:val="en-US" w:eastAsia="zh-CN"/>
        </w:rPr>
        <w:t>有害垃圾：</w:t>
      </w:r>
      <w:r>
        <w:rPr>
          <w:rFonts w:hint="eastAsia" w:ascii="仿宋_GB2312" w:hAnsi="Times New Roman" w:eastAsia="仿宋_GB2312"/>
          <w:b w:val="0"/>
          <w:bCs w:val="0"/>
          <w:sz w:val="32"/>
          <w:szCs w:val="32"/>
          <w:lang w:val="en-US" w:eastAsia="zh-CN"/>
        </w:rPr>
        <w:t>主要包括废电池、废灯管、废药品、废杀虫剂、废温度计、废油漆及其容器等对人体健康或者自然环境造成直接或者潜在危害的生活废弃物。</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521325" cy="3177540"/>
            <wp:effectExtent l="0" t="0" r="3175" b="381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1"/>
                    <a:stretch>
                      <a:fillRect/>
                    </a:stretch>
                  </pic:blipFill>
                  <pic:spPr>
                    <a:xfrm>
                      <a:off x="0" y="0"/>
                      <a:ext cx="5521325" cy="3177540"/>
                    </a:xfrm>
                    <a:prstGeom prst="rect">
                      <a:avLst/>
                    </a:prstGeom>
                    <a:noFill/>
                    <a:ln w="9525">
                      <a:noFill/>
                    </a:ln>
                  </pic:spPr>
                </pic:pic>
              </a:graphicData>
            </a:graphic>
          </wp:inline>
        </w:drawing>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4819650" cy="5210175"/>
            <wp:effectExtent l="0" t="0" r="0" b="9525"/>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1"/>
                    </pic:cNvPicPr>
                  </pic:nvPicPr>
                  <pic:blipFill>
                    <a:blip r:embed="rId12"/>
                    <a:stretch>
                      <a:fillRect/>
                    </a:stretch>
                  </pic:blipFill>
                  <pic:spPr>
                    <a:xfrm>
                      <a:off x="0" y="0"/>
                      <a:ext cx="4819650" cy="5210175"/>
                    </a:xfrm>
                    <a:prstGeom prst="rect">
                      <a:avLst/>
                    </a:prstGeom>
                    <a:noFill/>
                    <a:ln w="9525">
                      <a:noFill/>
                    </a:ln>
                  </pic:spPr>
                </pic:pic>
              </a:graphicData>
            </a:graphic>
          </wp:inline>
        </w:drawing>
      </w:r>
    </w:p>
    <w:p>
      <w:pPr>
        <w:spacing w:line="520" w:lineRule="exact"/>
        <w:ind w:firstLine="643" w:firstLineChars="200"/>
        <w:jc w:val="left"/>
        <w:rPr>
          <w:rFonts w:hint="eastAsia" w:ascii="仿宋_GB2312" w:hAnsi="Times New Roman" w:eastAsia="仿宋_GB2312"/>
          <w:b/>
          <w:bCs/>
          <w:sz w:val="32"/>
          <w:szCs w:val="32"/>
          <w:lang w:val="en-US" w:eastAsia="zh-CN"/>
        </w:rPr>
      </w:pPr>
    </w:p>
    <w:p>
      <w:pPr>
        <w:spacing w:line="520" w:lineRule="exact"/>
        <w:ind w:firstLine="643" w:firstLineChars="200"/>
        <w:jc w:val="left"/>
        <w:rPr>
          <w:rFonts w:hint="eastAsia" w:ascii="仿宋_GB2312" w:hAnsi="Times New Roman" w:eastAsia="仿宋_GB2312"/>
          <w:b w:val="0"/>
          <w:bCs w:val="0"/>
          <w:sz w:val="32"/>
          <w:szCs w:val="32"/>
          <w:lang w:val="en-US" w:eastAsia="zh-CN"/>
        </w:rPr>
      </w:pPr>
      <w:r>
        <w:rPr>
          <w:rFonts w:hint="eastAsia" w:ascii="仿宋_GB2312" w:hAnsi="Times New Roman" w:eastAsia="仿宋_GB2312"/>
          <w:b/>
          <w:bCs/>
          <w:sz w:val="32"/>
          <w:szCs w:val="32"/>
          <w:lang w:val="en-US" w:eastAsia="zh-CN"/>
        </w:rPr>
        <w:t>厨余垃圾：</w:t>
      </w:r>
      <w:r>
        <w:rPr>
          <w:rFonts w:hint="eastAsia" w:ascii="仿宋_GB2312" w:hAnsi="Times New Roman" w:eastAsia="仿宋_GB2312"/>
          <w:b w:val="0"/>
          <w:bCs w:val="0"/>
          <w:sz w:val="32"/>
          <w:szCs w:val="32"/>
          <w:lang w:val="en-US" w:eastAsia="zh-CN"/>
        </w:rPr>
        <w:t>主要包括家庭厨余垃圾、餐厨垃圾和其他厨余垃圾等易腐烂的、含有机质的生活废弃物。</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732780" cy="2676525"/>
            <wp:effectExtent l="0" t="0" r="1270" b="952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13"/>
                    <a:stretch>
                      <a:fillRect/>
                    </a:stretch>
                  </pic:blipFill>
                  <pic:spPr>
                    <a:xfrm>
                      <a:off x="0" y="0"/>
                      <a:ext cx="5732780" cy="2676525"/>
                    </a:xfrm>
                    <a:prstGeom prst="rect">
                      <a:avLst/>
                    </a:prstGeom>
                    <a:noFill/>
                    <a:ln w="9525">
                      <a:noFill/>
                    </a:ln>
                  </pic:spPr>
                </pic:pic>
              </a:graphicData>
            </a:graphic>
          </wp:inline>
        </w:drawing>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4352925" cy="3000375"/>
            <wp:effectExtent l="0" t="0" r="9525" b="9525"/>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14"/>
                    <a:stretch>
                      <a:fillRect/>
                    </a:stretch>
                  </pic:blipFill>
                  <pic:spPr>
                    <a:xfrm>
                      <a:off x="0" y="0"/>
                      <a:ext cx="4352925" cy="3000375"/>
                    </a:xfrm>
                    <a:prstGeom prst="rect">
                      <a:avLst/>
                    </a:prstGeom>
                    <a:noFill/>
                    <a:ln w="9525">
                      <a:noFill/>
                    </a:ln>
                  </pic:spPr>
                </pic:pic>
              </a:graphicData>
            </a:graphic>
          </wp:inline>
        </w:drawing>
      </w:r>
    </w:p>
    <w:p>
      <w:pPr>
        <w:spacing w:line="520" w:lineRule="exact"/>
        <w:ind w:firstLine="640" w:firstLineChars="200"/>
        <w:jc w:val="left"/>
        <w:rPr>
          <w:rFonts w:hint="eastAsia" w:ascii="仿宋_GB2312" w:hAnsi="Times New Roman" w:eastAsia="仿宋_GB2312"/>
          <w:b w:val="0"/>
          <w:bCs w:val="0"/>
          <w:sz w:val="32"/>
          <w:szCs w:val="32"/>
          <w:lang w:val="en-US" w:eastAsia="zh-CN"/>
        </w:rPr>
      </w:pPr>
    </w:p>
    <w:p>
      <w:pPr>
        <w:spacing w:line="520" w:lineRule="exact"/>
        <w:ind w:firstLine="643" w:firstLineChars="200"/>
        <w:jc w:val="left"/>
        <w:rPr>
          <w:rFonts w:hint="eastAsia" w:ascii="仿宋_GB2312" w:hAnsi="Times New Roman" w:eastAsia="仿宋_GB2312"/>
          <w:b w:val="0"/>
          <w:bCs w:val="0"/>
          <w:sz w:val="32"/>
          <w:szCs w:val="32"/>
          <w:lang w:val="en-US" w:eastAsia="zh-CN"/>
        </w:rPr>
      </w:pPr>
      <w:r>
        <w:rPr>
          <w:rFonts w:hint="eastAsia" w:ascii="仿宋_GB2312" w:hAnsi="Times New Roman" w:eastAsia="仿宋_GB2312"/>
          <w:b/>
          <w:bCs/>
          <w:sz w:val="32"/>
          <w:szCs w:val="32"/>
          <w:lang w:val="en-US" w:eastAsia="zh-CN"/>
        </w:rPr>
        <w:t>其他垃圾：</w:t>
      </w:r>
      <w:r>
        <w:rPr>
          <w:rFonts w:hint="eastAsia" w:ascii="仿宋_GB2312" w:hAnsi="Times New Roman" w:eastAsia="仿宋_GB2312"/>
          <w:b w:val="0"/>
          <w:bCs w:val="0"/>
          <w:sz w:val="32"/>
          <w:szCs w:val="32"/>
          <w:lang w:val="en-US" w:eastAsia="zh-CN"/>
        </w:rPr>
        <w:t>是指除可回收物、有害垃圾、厨余垃圾以外的其他生活废弃物。</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130165" cy="3276600"/>
            <wp:effectExtent l="0" t="0" r="13335" b="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5"/>
                    <a:stretch>
                      <a:fillRect/>
                    </a:stretch>
                  </pic:blipFill>
                  <pic:spPr>
                    <a:xfrm>
                      <a:off x="0" y="0"/>
                      <a:ext cx="5130165" cy="3276600"/>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3543935" cy="3060065"/>
            <wp:effectExtent l="0" t="0" r="18415" b="6985"/>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r:embed="rId16"/>
                    <a:stretch>
                      <a:fillRect/>
                    </a:stretch>
                  </pic:blipFill>
                  <pic:spPr>
                    <a:xfrm>
                      <a:off x="0" y="0"/>
                      <a:ext cx="3543935" cy="3060065"/>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numPr>
          <w:ilvl w:val="0"/>
          <w:numId w:val="0"/>
        </w:numPr>
        <w:spacing w:line="520" w:lineRule="exact"/>
        <w:jc w:val="both"/>
        <w:rPr>
          <w:rFonts w:hint="eastAsia" w:ascii="仿宋_GB2312" w:hAnsi="Times New Roman" w:eastAsia="仿宋_GB2312"/>
          <w:b/>
          <w:bCs/>
          <w:sz w:val="32"/>
          <w:szCs w:val="32"/>
          <w:lang w:val="en-US" w:eastAsia="zh-CN"/>
        </w:rPr>
      </w:pPr>
    </w:p>
    <w:p>
      <w:pPr>
        <w:spacing w:line="520" w:lineRule="exact"/>
        <w:ind w:firstLine="643" w:firstLineChars="200"/>
        <w:jc w:val="left"/>
        <w:rPr>
          <w:rFonts w:hint="eastAsia" w:ascii="仿宋_GB2312" w:hAnsi="Times New Roman" w:eastAsia="仿宋_GB2312"/>
          <w:b w:val="0"/>
          <w:bCs w:val="0"/>
          <w:sz w:val="32"/>
          <w:szCs w:val="32"/>
          <w:highlight w:val="none"/>
          <w:lang w:val="en-US" w:eastAsia="zh-CN"/>
        </w:rPr>
      </w:pPr>
      <w:r>
        <w:rPr>
          <w:rFonts w:hint="eastAsia" w:ascii="仿宋_GB2312" w:hAnsi="Times New Roman" w:eastAsia="仿宋_GB2312"/>
          <w:b/>
          <w:bCs/>
          <w:sz w:val="32"/>
          <w:szCs w:val="32"/>
          <w:highlight w:val="none"/>
          <w:lang w:val="en-US" w:eastAsia="zh-CN"/>
        </w:rPr>
        <w:t>四、武汉工商学院垃圾分类投放要求</w:t>
      </w:r>
    </w:p>
    <w:p>
      <w:pPr>
        <w:keepNext w:val="0"/>
        <w:keepLines w:val="0"/>
        <w:widowControl/>
        <w:suppressLineNumbers w:val="0"/>
        <w:jc w:val="left"/>
        <w:rPr>
          <w:rFonts w:hint="eastAsia" w:ascii="仿宋_GB2312" w:hAnsi="Times New Roman" w:eastAsia="仿宋_GB2312"/>
          <w:b w:val="0"/>
          <w:bCs w:val="0"/>
          <w:sz w:val="32"/>
          <w:szCs w:val="32"/>
          <w:lang w:val="en-US" w:eastAsia="zh-CN"/>
        </w:rPr>
      </w:pPr>
      <w:r>
        <w:rPr>
          <w:rFonts w:ascii="宋体" w:hAnsi="宋体" w:eastAsia="宋体" w:cs="宋体"/>
          <w:kern w:val="0"/>
          <w:sz w:val="24"/>
          <w:szCs w:val="24"/>
          <w:lang w:val="en-US" w:eastAsia="zh-CN" w:bidi="ar"/>
        </w:rPr>
        <w:drawing>
          <wp:inline distT="0" distB="0" distL="114300" distR="114300">
            <wp:extent cx="4667250" cy="1600200"/>
            <wp:effectExtent l="0" t="0" r="0" b="0"/>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17"/>
                    <a:stretch>
                      <a:fillRect/>
                    </a:stretch>
                  </pic:blipFill>
                  <pic:spPr>
                    <a:xfrm>
                      <a:off x="0" y="0"/>
                      <a:ext cx="4667250" cy="16002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Hans"/>
        </w:rPr>
        <w:t>校内所有单位和个人均应当根据校内生活垃圾分类标准投放生活垃圾，</w:t>
      </w:r>
      <w:r>
        <w:rPr>
          <w:rFonts w:hint="eastAsia" w:ascii="仿宋_GB2312" w:hAnsi="仿宋_GB2312" w:eastAsia="仿宋_GB2312" w:cs="仿宋_GB2312"/>
          <w:sz w:val="32"/>
          <w:szCs w:val="32"/>
          <w:lang w:val="en-US" w:eastAsia="zh-CN"/>
        </w:rPr>
        <w:t>宿舍垃圾要求带下楼，教学区内勿带餐食，</w:t>
      </w:r>
      <w:r>
        <w:rPr>
          <w:rFonts w:hint="eastAsia" w:ascii="仿宋_GB2312" w:hAnsi="仿宋_GB2312" w:eastAsia="仿宋_GB2312" w:cs="仿宋_GB2312"/>
          <w:sz w:val="32"/>
          <w:szCs w:val="32"/>
          <w:lang w:val="en-US" w:eastAsia="zh-Hans"/>
        </w:rPr>
        <w:t>并符合下列</w:t>
      </w:r>
      <w:r>
        <w:rPr>
          <w:rFonts w:hint="eastAsia" w:ascii="仿宋_GB2312" w:hAnsi="仿宋_GB2312" w:eastAsia="仿宋_GB2312" w:cs="仿宋_GB2312"/>
          <w:sz w:val="32"/>
          <w:szCs w:val="32"/>
          <w:lang w:val="en-US" w:eastAsia="zh-CN"/>
        </w:rPr>
        <w:t>投放</w:t>
      </w:r>
      <w:r>
        <w:rPr>
          <w:rFonts w:hint="eastAsia" w:ascii="仿宋_GB2312" w:hAnsi="仿宋_GB2312" w:eastAsia="仿宋_GB2312" w:cs="仿宋_GB2312"/>
          <w:sz w:val="32"/>
          <w:szCs w:val="32"/>
          <w:lang w:val="en-US" w:eastAsia="zh-Hans"/>
        </w:rPr>
        <w:t>要求：有害垃圾投放至有害垃圾收集容器，不得投放至其他垃圾收集容器；可回收物、</w:t>
      </w:r>
      <w:r>
        <w:rPr>
          <w:rFonts w:hint="eastAsia" w:ascii="仿宋_GB2312" w:hAnsi="仿宋_GB2312" w:eastAsia="仿宋_GB2312" w:cs="仿宋_GB2312"/>
          <w:sz w:val="32"/>
          <w:szCs w:val="32"/>
          <w:lang w:val="en-US" w:eastAsia="zh-CN"/>
        </w:rPr>
        <w:t>厨余垃圾</w:t>
      </w:r>
      <w:r>
        <w:rPr>
          <w:rFonts w:hint="eastAsia" w:ascii="仿宋_GB2312" w:hAnsi="仿宋_GB2312" w:eastAsia="仿宋_GB2312" w:cs="仿宋_GB2312"/>
          <w:sz w:val="32"/>
          <w:szCs w:val="32"/>
          <w:lang w:val="en-US" w:eastAsia="zh-Hans"/>
        </w:rPr>
        <w:t>、</w:t>
      </w:r>
      <w:r>
        <w:rPr>
          <w:rFonts w:hint="eastAsia" w:ascii="仿宋_GB2312" w:hAnsi="仿宋_GB2312" w:eastAsia="仿宋_GB2312" w:cs="仿宋_GB2312"/>
          <w:sz w:val="32"/>
          <w:szCs w:val="32"/>
          <w:lang w:val="en-US" w:eastAsia="zh-CN"/>
        </w:rPr>
        <w:t>其他</w:t>
      </w:r>
      <w:r>
        <w:rPr>
          <w:rFonts w:hint="eastAsia" w:ascii="仿宋_GB2312" w:hAnsi="仿宋_GB2312" w:eastAsia="仿宋_GB2312" w:cs="仿宋_GB2312"/>
          <w:sz w:val="32"/>
          <w:szCs w:val="32"/>
          <w:lang w:val="en-US" w:eastAsia="zh-Hans"/>
        </w:rPr>
        <w:t>圾投放至相应的垃圾分类收集容器。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Hans"/>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val="en-US" w:eastAsia="zh-Hans"/>
        </w:rPr>
        <w:t>可回收物投放要求</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Hans"/>
        </w:rPr>
        <w:t>鼓励师生员工直接将可回收物纳入再生资源回收系统，如需分类投放应尽量保持清洁干燥，避免污染，轻投轻放。其中：废纸应保持平整，立体包装物应清空内容物，清洁后压扁投放</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Hans"/>
        </w:rPr>
        <w:t>废玻璃有尖锐边角的，应包裹后投放。</w:t>
      </w:r>
      <w:r>
        <w:rPr>
          <w:rFonts w:hint="eastAsia" w:ascii="仿宋_GB2312" w:hAnsi="仿宋_GB2312" w:eastAsia="仿宋_GB2312" w:cs="仿宋_GB2312"/>
          <w:sz w:val="32"/>
          <w:szCs w:val="32"/>
          <w:lang w:val="en-US" w:eastAsia="zh-Hans"/>
        </w:rPr>
        <w:tab/>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Hans"/>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val="en-US" w:eastAsia="zh-Hans"/>
        </w:rPr>
        <w:t>有害垃圾投放要求</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Hans"/>
        </w:rPr>
        <w:t>有害垃圾投放时，应注意轻放。其中：废旧灯管等易破损的有害垃圾应连带包装或包裹后投放</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Hans"/>
        </w:rPr>
        <w:t>废弃药品应连带包装一并投放</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Hans"/>
        </w:rPr>
        <w:t>杀虫剂等压力罐装容器，应破孔后投放</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Hans"/>
        </w:rPr>
        <w:t>在公共场所产生有害垃圾且未发现对应收集容器时，应将有害垃圾携带至设置有害垃圾收集容器的地点妥善投放。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Hans"/>
        </w:rPr>
      </w:pPr>
      <w:r>
        <w:rPr>
          <w:rFonts w:hint="eastAsia" w:ascii="仿宋_GB2312" w:hAnsi="仿宋_GB2312" w:eastAsia="仿宋_GB2312" w:cs="仿宋_GB2312"/>
          <w:sz w:val="32"/>
          <w:szCs w:val="32"/>
          <w:lang w:val="en-US" w:eastAsia="zh-CN"/>
        </w:rPr>
        <w:t>3.厨余垃圾</w:t>
      </w:r>
      <w:r>
        <w:rPr>
          <w:rFonts w:hint="eastAsia" w:ascii="仿宋_GB2312" w:hAnsi="仿宋_GB2312" w:eastAsia="仿宋_GB2312" w:cs="仿宋_GB2312"/>
          <w:sz w:val="32"/>
          <w:szCs w:val="32"/>
          <w:lang w:val="en-US" w:eastAsia="zh-Hans"/>
        </w:rPr>
        <w:t>投放要求</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Hans"/>
        </w:rPr>
        <w:t>应从产生时就与其他品种垃圾分开收集，有包装物的</w:t>
      </w:r>
      <w:r>
        <w:rPr>
          <w:rFonts w:hint="eastAsia" w:ascii="仿宋_GB2312" w:hAnsi="仿宋_GB2312" w:eastAsia="仿宋_GB2312" w:cs="仿宋_GB2312"/>
          <w:sz w:val="32"/>
          <w:szCs w:val="32"/>
          <w:lang w:val="en-US" w:eastAsia="zh-CN"/>
        </w:rPr>
        <w:t>厨余垃圾</w:t>
      </w:r>
      <w:r>
        <w:rPr>
          <w:rFonts w:hint="eastAsia" w:ascii="仿宋_GB2312" w:hAnsi="仿宋_GB2312" w:eastAsia="仿宋_GB2312" w:cs="仿宋_GB2312"/>
          <w:sz w:val="32"/>
          <w:szCs w:val="32"/>
          <w:lang w:val="en-US" w:eastAsia="zh-Hans"/>
        </w:rPr>
        <w:t>应将包装物去除后分类投放，包装物应投放到对应的可回收物或</w:t>
      </w:r>
      <w:r>
        <w:rPr>
          <w:rFonts w:hint="eastAsia" w:ascii="仿宋_GB2312" w:hAnsi="仿宋_GB2312" w:eastAsia="仿宋_GB2312" w:cs="仿宋_GB2312"/>
          <w:sz w:val="32"/>
          <w:szCs w:val="32"/>
          <w:lang w:val="en-US" w:eastAsia="zh-CN"/>
        </w:rPr>
        <w:t>其他</w:t>
      </w:r>
      <w:r>
        <w:rPr>
          <w:rFonts w:hint="eastAsia" w:ascii="仿宋_GB2312" w:hAnsi="仿宋_GB2312" w:eastAsia="仿宋_GB2312" w:cs="仿宋_GB2312"/>
          <w:sz w:val="32"/>
          <w:szCs w:val="32"/>
          <w:lang w:val="en-US" w:eastAsia="zh-Hans"/>
        </w:rPr>
        <w:t>圾收集容器。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Hans"/>
        </w:rPr>
      </w:pPr>
      <w:r>
        <w:rPr>
          <w:rFonts w:hint="eastAsia" w:ascii="仿宋_GB2312" w:hAnsi="仿宋_GB2312" w:eastAsia="仿宋_GB2312" w:cs="仿宋_GB2312"/>
          <w:sz w:val="32"/>
          <w:szCs w:val="32"/>
          <w:lang w:val="en-US" w:eastAsia="zh-CN"/>
        </w:rPr>
        <w:t>4.其他</w:t>
      </w:r>
      <w:r>
        <w:rPr>
          <w:rFonts w:hint="eastAsia" w:ascii="仿宋_GB2312" w:hAnsi="仿宋_GB2312" w:eastAsia="仿宋_GB2312" w:cs="仿宋_GB2312"/>
          <w:sz w:val="32"/>
          <w:szCs w:val="32"/>
          <w:lang w:val="en-US" w:eastAsia="zh-Hans"/>
        </w:rPr>
        <w:t>垃圾投放要求</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Hans"/>
        </w:rPr>
        <w:t>凡未列入本目录或成分复杂难以分辨类别的生活垃圾，投入</w:t>
      </w:r>
      <w:r>
        <w:rPr>
          <w:rFonts w:hint="eastAsia" w:ascii="仿宋_GB2312" w:hAnsi="仿宋_GB2312" w:eastAsia="仿宋_GB2312" w:cs="仿宋_GB2312"/>
          <w:sz w:val="32"/>
          <w:szCs w:val="32"/>
          <w:lang w:val="en-US" w:eastAsia="zh-CN"/>
        </w:rPr>
        <w:t>其他</w:t>
      </w:r>
      <w:r>
        <w:rPr>
          <w:rFonts w:hint="eastAsia" w:ascii="仿宋_GB2312" w:hAnsi="仿宋_GB2312" w:eastAsia="仿宋_GB2312" w:cs="仿宋_GB2312"/>
          <w:sz w:val="32"/>
          <w:szCs w:val="32"/>
          <w:lang w:val="en-US" w:eastAsia="zh-Hans"/>
        </w:rPr>
        <w:t>垃圾收集容器。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Hans"/>
        </w:rPr>
      </w:pPr>
    </w:p>
    <w:p>
      <w:pPr>
        <w:jc w:val="center"/>
        <w:rPr>
          <w:rFonts w:hint="eastAsia"/>
          <w:sz w:val="28"/>
          <w:szCs w:val="28"/>
          <w:lang w:val="en-US" w:eastAsia="zh-CN"/>
        </w:rPr>
      </w:pPr>
      <w:r>
        <w:rPr>
          <w:rFonts w:hint="eastAsia"/>
          <w:sz w:val="28"/>
          <w:szCs w:val="28"/>
          <w:lang w:val="en-US" w:eastAsia="zh-CN"/>
        </w:rPr>
        <w:t>校园垃圾桶铺设</w:t>
      </w:r>
    </w:p>
    <w:tbl>
      <w:tblPr>
        <w:tblStyle w:val="3"/>
        <w:tblW w:w="51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1069"/>
        <w:gridCol w:w="1931"/>
        <w:gridCol w:w="1980"/>
        <w:gridCol w:w="2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pct"/>
          </w:tcPr>
          <w:p>
            <w:pPr>
              <w:jc w:val="center"/>
              <w:rPr>
                <w:rFonts w:hint="eastAsia" w:eastAsia="仿宋_GB2312"/>
                <w:vertAlign w:val="baseline"/>
                <w:lang w:val="en-US" w:eastAsia="zh-CN"/>
              </w:rPr>
            </w:pPr>
            <w:r>
              <w:rPr>
                <w:rFonts w:hint="eastAsia"/>
                <w:vertAlign w:val="baseline"/>
                <w:lang w:val="en-US" w:eastAsia="zh-CN"/>
              </w:rPr>
              <w:t>楼栋</w:t>
            </w:r>
          </w:p>
        </w:tc>
        <w:tc>
          <w:tcPr>
            <w:tcW w:w="614" w:type="pct"/>
          </w:tcPr>
          <w:p>
            <w:pPr>
              <w:jc w:val="center"/>
              <w:rPr>
                <w:rFonts w:hint="eastAsia" w:eastAsia="仿宋_GB2312"/>
                <w:vertAlign w:val="baseline"/>
                <w:lang w:val="en-US" w:eastAsia="zh-CN"/>
              </w:rPr>
            </w:pPr>
            <w:r>
              <w:rPr>
                <w:rFonts w:hint="eastAsia"/>
                <w:vertAlign w:val="baseline"/>
                <w:lang w:val="en-US" w:eastAsia="zh-CN"/>
              </w:rPr>
              <w:t>楼层</w:t>
            </w:r>
          </w:p>
        </w:tc>
        <w:tc>
          <w:tcPr>
            <w:tcW w:w="1110" w:type="pct"/>
          </w:tcPr>
          <w:p>
            <w:pPr>
              <w:jc w:val="center"/>
              <w:rPr>
                <w:rFonts w:hint="eastAsia" w:eastAsia="仿宋_GB2312"/>
                <w:vertAlign w:val="baseline"/>
                <w:lang w:val="en-US" w:eastAsia="zh-CN"/>
              </w:rPr>
            </w:pPr>
            <w:r>
              <w:rPr>
                <w:rFonts w:hint="eastAsia"/>
                <w:vertAlign w:val="baseline"/>
                <w:lang w:val="en-US" w:eastAsia="zh-CN"/>
              </w:rPr>
              <w:t>两分类（组）</w:t>
            </w:r>
          </w:p>
        </w:tc>
        <w:tc>
          <w:tcPr>
            <w:tcW w:w="1138" w:type="pct"/>
          </w:tcPr>
          <w:p>
            <w:pPr>
              <w:jc w:val="center"/>
              <w:rPr>
                <w:rFonts w:hint="eastAsia" w:eastAsia="仿宋_GB2312"/>
                <w:vertAlign w:val="baseline"/>
                <w:lang w:val="en-US" w:eastAsia="zh-CN"/>
              </w:rPr>
            </w:pPr>
            <w:r>
              <w:rPr>
                <w:rFonts w:hint="eastAsia"/>
                <w:vertAlign w:val="baseline"/>
                <w:lang w:val="en-US" w:eastAsia="zh-CN"/>
              </w:rPr>
              <w:t>四分类（组）</w:t>
            </w:r>
          </w:p>
        </w:tc>
        <w:tc>
          <w:tcPr>
            <w:tcW w:w="1410" w:type="pct"/>
          </w:tcPr>
          <w:p>
            <w:pPr>
              <w:jc w:val="center"/>
              <w:rPr>
                <w:rFonts w:hint="eastAsia" w:eastAsia="仿宋_GB2312"/>
                <w:vertAlign w:val="baseline"/>
                <w:lang w:val="en-US" w:eastAsia="zh-CN"/>
              </w:rPr>
            </w:pPr>
            <w:r>
              <w:rPr>
                <w:rFonts w:hint="eastAsia"/>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pct"/>
            <w:vMerge w:val="restart"/>
          </w:tcPr>
          <w:p>
            <w:pPr>
              <w:jc w:val="center"/>
              <w:rPr>
                <w:rFonts w:hint="eastAsia" w:eastAsia="仿宋_GB2312"/>
                <w:vertAlign w:val="baseline"/>
                <w:lang w:val="en-US" w:eastAsia="zh-CN"/>
              </w:rPr>
            </w:pPr>
            <w:r>
              <w:rPr>
                <w:rFonts w:hint="eastAsia"/>
                <w:vertAlign w:val="baseline"/>
                <w:lang w:val="en-US" w:eastAsia="zh-CN"/>
              </w:rPr>
              <w:t>综合楼</w:t>
            </w:r>
          </w:p>
        </w:tc>
        <w:tc>
          <w:tcPr>
            <w:tcW w:w="614" w:type="pct"/>
          </w:tcPr>
          <w:p>
            <w:pPr>
              <w:jc w:val="center"/>
              <w:rPr>
                <w:rFonts w:hint="default" w:eastAsia="仿宋_GB2312"/>
                <w:vertAlign w:val="baseline"/>
                <w:lang w:val="en-US" w:eastAsia="zh-CN"/>
              </w:rPr>
            </w:pPr>
            <w:r>
              <w:rPr>
                <w:rFonts w:hint="eastAsia"/>
                <w:vertAlign w:val="baseline"/>
                <w:lang w:val="en-US" w:eastAsia="zh-CN"/>
              </w:rPr>
              <w:t>1-7</w:t>
            </w:r>
          </w:p>
        </w:tc>
        <w:tc>
          <w:tcPr>
            <w:tcW w:w="1110" w:type="pct"/>
          </w:tcPr>
          <w:p>
            <w:pPr>
              <w:jc w:val="center"/>
              <w:rPr>
                <w:rFonts w:hint="default" w:eastAsia="仿宋_GB2312"/>
                <w:vertAlign w:val="baseline"/>
                <w:lang w:val="en-US" w:eastAsia="zh-CN"/>
              </w:rPr>
            </w:pPr>
            <w:r>
              <w:rPr>
                <w:rFonts w:hint="eastAsia"/>
                <w:vertAlign w:val="baseline"/>
                <w:lang w:val="en-US" w:eastAsia="zh-CN"/>
              </w:rPr>
              <w:t>√</w:t>
            </w:r>
          </w:p>
        </w:tc>
        <w:tc>
          <w:tcPr>
            <w:tcW w:w="1138" w:type="pct"/>
          </w:tcPr>
          <w:p>
            <w:pPr>
              <w:jc w:val="center"/>
              <w:rPr>
                <w:rFonts w:hint="default" w:eastAsia="仿宋_GB2312"/>
                <w:vertAlign w:val="baseline"/>
                <w:lang w:val="en-US" w:eastAsia="zh-CN"/>
              </w:rPr>
            </w:pPr>
          </w:p>
        </w:tc>
        <w:tc>
          <w:tcPr>
            <w:tcW w:w="1410" w:type="pct"/>
          </w:tcPr>
          <w:p>
            <w:pPr>
              <w:jc w:val="center"/>
              <w:rPr>
                <w:rFonts w:hint="eastAsia" w:eastAsia="仿宋_GB2312"/>
                <w:vertAlign w:val="baseline"/>
                <w:lang w:val="en-US" w:eastAsia="zh-CN"/>
              </w:rPr>
            </w:pPr>
            <w:r>
              <w:rPr>
                <w:rFonts w:hint="eastAsia"/>
                <w:vertAlign w:val="baseline"/>
                <w:lang w:val="en-US" w:eastAsia="zh-CN"/>
              </w:rPr>
              <w:t>每层三组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pct"/>
            <w:vMerge w:val="continue"/>
          </w:tcPr>
          <w:p>
            <w:pPr>
              <w:jc w:val="center"/>
              <w:rPr>
                <w:rFonts w:hint="eastAsia"/>
                <w:vertAlign w:val="baseline"/>
                <w:lang w:val="en-US" w:eastAsia="zh-CN"/>
              </w:rPr>
            </w:pPr>
          </w:p>
        </w:tc>
        <w:tc>
          <w:tcPr>
            <w:tcW w:w="614" w:type="pct"/>
          </w:tcPr>
          <w:p>
            <w:pPr>
              <w:jc w:val="center"/>
              <w:rPr>
                <w:rFonts w:hint="default"/>
                <w:vertAlign w:val="baseline"/>
                <w:lang w:val="en-US" w:eastAsia="zh-CN"/>
              </w:rPr>
            </w:pPr>
            <w:r>
              <w:rPr>
                <w:rFonts w:hint="eastAsia"/>
                <w:vertAlign w:val="baseline"/>
                <w:lang w:val="en-US" w:eastAsia="zh-CN"/>
              </w:rPr>
              <w:t>8-12</w:t>
            </w:r>
          </w:p>
        </w:tc>
        <w:tc>
          <w:tcPr>
            <w:tcW w:w="1110" w:type="pct"/>
          </w:tcPr>
          <w:p>
            <w:pPr>
              <w:jc w:val="center"/>
              <w:rPr>
                <w:rFonts w:hint="eastAsia"/>
                <w:vertAlign w:val="baseline"/>
                <w:lang w:val="en-US" w:eastAsia="zh-CN"/>
              </w:rPr>
            </w:pPr>
            <w:r>
              <w:rPr>
                <w:rFonts w:hint="eastAsia"/>
                <w:vertAlign w:val="baseline"/>
                <w:lang w:val="en-US" w:eastAsia="zh-CN"/>
              </w:rPr>
              <w:t>√</w:t>
            </w:r>
          </w:p>
        </w:tc>
        <w:tc>
          <w:tcPr>
            <w:tcW w:w="1138" w:type="pct"/>
          </w:tcPr>
          <w:p>
            <w:pPr>
              <w:jc w:val="center"/>
              <w:rPr>
                <w:rFonts w:hint="eastAsia"/>
                <w:vertAlign w:val="baseline"/>
                <w:lang w:val="en-US" w:eastAsia="zh-CN"/>
              </w:rPr>
            </w:pPr>
          </w:p>
        </w:tc>
        <w:tc>
          <w:tcPr>
            <w:tcW w:w="1410" w:type="pct"/>
          </w:tcPr>
          <w:p>
            <w:pPr>
              <w:jc w:val="center"/>
              <w:rPr>
                <w:rFonts w:hint="eastAsia" w:eastAsia="仿宋_GB2312"/>
                <w:vertAlign w:val="baseline"/>
                <w:lang w:val="en-US" w:eastAsia="zh-CN"/>
              </w:rPr>
            </w:pPr>
            <w:r>
              <w:rPr>
                <w:rFonts w:hint="eastAsia"/>
                <w:vertAlign w:val="baseline"/>
                <w:lang w:val="en-US" w:eastAsia="zh-CN"/>
              </w:rPr>
              <w:t>每层三组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pct"/>
            <w:vMerge w:val="continue"/>
          </w:tcPr>
          <w:p>
            <w:pPr>
              <w:jc w:val="center"/>
              <w:rPr>
                <w:rFonts w:hint="eastAsia"/>
                <w:vertAlign w:val="baseline"/>
                <w:lang w:val="en-US" w:eastAsia="zh-CN"/>
              </w:rPr>
            </w:pPr>
          </w:p>
        </w:tc>
        <w:tc>
          <w:tcPr>
            <w:tcW w:w="614" w:type="pct"/>
            <w:vAlign w:val="top"/>
          </w:tcPr>
          <w:p>
            <w:pPr>
              <w:jc w:val="center"/>
              <w:rPr>
                <w:rFonts w:hint="eastAsia"/>
                <w:vertAlign w:val="baseline"/>
                <w:lang w:val="en-US" w:eastAsia="zh-CN"/>
              </w:rPr>
            </w:pPr>
            <w:r>
              <w:rPr>
                <w:rFonts w:hint="eastAsia"/>
                <w:vertAlign w:val="baseline"/>
                <w:lang w:val="en-US" w:eastAsia="zh-CN"/>
              </w:rPr>
              <w:t>1</w:t>
            </w:r>
          </w:p>
        </w:tc>
        <w:tc>
          <w:tcPr>
            <w:tcW w:w="1110" w:type="pct"/>
            <w:vAlign w:val="top"/>
          </w:tcPr>
          <w:p>
            <w:pPr>
              <w:jc w:val="center"/>
              <w:rPr>
                <w:rFonts w:hint="eastAsia"/>
                <w:vertAlign w:val="baseline"/>
                <w:lang w:val="en-US" w:eastAsia="zh-CN"/>
              </w:rPr>
            </w:pPr>
          </w:p>
        </w:tc>
        <w:tc>
          <w:tcPr>
            <w:tcW w:w="1138" w:type="pct"/>
            <w:vAlign w:val="top"/>
          </w:tcPr>
          <w:p>
            <w:pPr>
              <w:jc w:val="center"/>
              <w:rPr>
                <w:rFonts w:hint="eastAsia"/>
                <w:vertAlign w:val="baseline"/>
                <w:lang w:val="en-US" w:eastAsia="zh-CN"/>
              </w:rPr>
            </w:pPr>
            <w:r>
              <w:rPr>
                <w:rFonts w:hint="eastAsia"/>
                <w:vertAlign w:val="baseline"/>
                <w:lang w:val="en-US" w:eastAsia="zh-CN"/>
              </w:rPr>
              <w:t>√</w:t>
            </w:r>
          </w:p>
        </w:tc>
        <w:tc>
          <w:tcPr>
            <w:tcW w:w="1410" w:type="pct"/>
            <w:vAlign w:val="top"/>
          </w:tcPr>
          <w:p>
            <w:pPr>
              <w:jc w:val="center"/>
              <w:rPr>
                <w:rFonts w:hint="eastAsia"/>
                <w:vertAlign w:val="baseline"/>
                <w:lang w:val="en-US" w:eastAsia="zh-CN"/>
              </w:rPr>
            </w:pPr>
            <w:r>
              <w:rPr>
                <w:rFonts w:hint="eastAsia"/>
                <w:vertAlign w:val="baseline"/>
                <w:lang w:val="en-US" w:eastAsia="zh-CN"/>
              </w:rPr>
              <w:t>一组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pct"/>
            <w:vMerge w:val="restart"/>
          </w:tcPr>
          <w:p>
            <w:pPr>
              <w:jc w:val="center"/>
              <w:rPr>
                <w:rFonts w:hint="eastAsia" w:eastAsia="仿宋_GB2312"/>
                <w:vertAlign w:val="baseline"/>
                <w:lang w:val="en-US" w:eastAsia="zh-CN"/>
              </w:rPr>
            </w:pPr>
            <w:r>
              <w:rPr>
                <w:rFonts w:hint="eastAsia"/>
                <w:vertAlign w:val="baseline"/>
                <w:lang w:val="en-US" w:eastAsia="zh-CN"/>
              </w:rPr>
              <w:t>实验楼</w:t>
            </w:r>
          </w:p>
        </w:tc>
        <w:tc>
          <w:tcPr>
            <w:tcW w:w="614" w:type="pct"/>
          </w:tcPr>
          <w:p>
            <w:pPr>
              <w:jc w:val="center"/>
              <w:rPr>
                <w:rFonts w:hint="default"/>
                <w:vertAlign w:val="baseline"/>
                <w:lang w:val="en-US" w:eastAsia="zh-CN"/>
              </w:rPr>
            </w:pPr>
            <w:r>
              <w:rPr>
                <w:rFonts w:hint="eastAsia"/>
                <w:vertAlign w:val="baseline"/>
                <w:lang w:val="en-US" w:eastAsia="zh-CN"/>
              </w:rPr>
              <w:t>1-6</w:t>
            </w:r>
          </w:p>
        </w:tc>
        <w:tc>
          <w:tcPr>
            <w:tcW w:w="1110" w:type="pct"/>
          </w:tcPr>
          <w:p>
            <w:pPr>
              <w:jc w:val="center"/>
              <w:rPr>
                <w:rFonts w:hint="default"/>
                <w:vertAlign w:val="baseline"/>
                <w:lang w:val="en-US" w:eastAsia="zh-CN"/>
              </w:rPr>
            </w:pPr>
            <w:r>
              <w:rPr>
                <w:rFonts w:hint="eastAsia"/>
                <w:vertAlign w:val="baseline"/>
                <w:lang w:val="en-US" w:eastAsia="zh-CN"/>
              </w:rPr>
              <w:t>√</w:t>
            </w:r>
          </w:p>
        </w:tc>
        <w:tc>
          <w:tcPr>
            <w:tcW w:w="1138" w:type="pct"/>
          </w:tcPr>
          <w:p>
            <w:pPr>
              <w:jc w:val="center"/>
              <w:rPr>
                <w:rFonts w:hint="eastAsia" w:eastAsia="仿宋_GB2312"/>
                <w:vertAlign w:val="baseline"/>
                <w:lang w:val="en-US" w:eastAsia="zh-CN"/>
              </w:rPr>
            </w:pPr>
          </w:p>
        </w:tc>
        <w:tc>
          <w:tcPr>
            <w:tcW w:w="1410" w:type="pct"/>
          </w:tcPr>
          <w:p>
            <w:pPr>
              <w:jc w:val="center"/>
              <w:rPr>
                <w:rFonts w:hint="eastAsia" w:eastAsia="仿宋_GB2312"/>
                <w:vertAlign w:val="baseline"/>
                <w:lang w:val="en-US" w:eastAsia="zh-CN"/>
              </w:rPr>
            </w:pPr>
            <w:r>
              <w:rPr>
                <w:rFonts w:hint="eastAsia"/>
                <w:vertAlign w:val="baseline"/>
                <w:lang w:val="en-US" w:eastAsia="zh-CN"/>
              </w:rPr>
              <w:t>每层二组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pct"/>
            <w:vMerge w:val="continue"/>
          </w:tcPr>
          <w:p>
            <w:pPr>
              <w:jc w:val="center"/>
              <w:rPr>
                <w:rFonts w:hint="default"/>
                <w:vertAlign w:val="baseline"/>
                <w:lang w:val="en-US"/>
              </w:rPr>
            </w:pPr>
          </w:p>
        </w:tc>
        <w:tc>
          <w:tcPr>
            <w:tcW w:w="614" w:type="pct"/>
          </w:tcPr>
          <w:p>
            <w:pPr>
              <w:jc w:val="center"/>
              <w:rPr>
                <w:rFonts w:hint="default"/>
                <w:vertAlign w:val="baseline"/>
                <w:lang w:val="en-US" w:eastAsia="zh-CN"/>
              </w:rPr>
            </w:pPr>
            <w:r>
              <w:rPr>
                <w:rFonts w:hint="eastAsia"/>
                <w:vertAlign w:val="baseline"/>
                <w:lang w:val="en-US" w:eastAsia="zh-CN"/>
              </w:rPr>
              <w:t>1</w:t>
            </w:r>
          </w:p>
        </w:tc>
        <w:tc>
          <w:tcPr>
            <w:tcW w:w="1110" w:type="pct"/>
          </w:tcPr>
          <w:p>
            <w:pPr>
              <w:jc w:val="center"/>
              <w:rPr>
                <w:rFonts w:hint="default"/>
                <w:vertAlign w:val="baseline"/>
                <w:lang w:val="en-US" w:eastAsia="zh-CN"/>
              </w:rPr>
            </w:pPr>
          </w:p>
        </w:tc>
        <w:tc>
          <w:tcPr>
            <w:tcW w:w="1138" w:type="pct"/>
          </w:tcPr>
          <w:p>
            <w:pPr>
              <w:jc w:val="center"/>
              <w:rPr>
                <w:rFonts w:hint="eastAsia" w:eastAsia="仿宋_GB2312"/>
                <w:vertAlign w:val="baseline"/>
                <w:lang w:val="en-US" w:eastAsia="zh-CN"/>
              </w:rPr>
            </w:pPr>
            <w:r>
              <w:rPr>
                <w:rFonts w:hint="eastAsia"/>
                <w:vertAlign w:val="baseline"/>
                <w:lang w:val="en-US" w:eastAsia="zh-CN"/>
              </w:rPr>
              <w:t>√</w:t>
            </w:r>
          </w:p>
        </w:tc>
        <w:tc>
          <w:tcPr>
            <w:tcW w:w="1410" w:type="pct"/>
          </w:tcPr>
          <w:p>
            <w:pPr>
              <w:jc w:val="center"/>
              <w:rPr>
                <w:rFonts w:hint="default"/>
                <w:vertAlign w:val="baseline"/>
                <w:lang w:val="en-US"/>
              </w:rPr>
            </w:pPr>
            <w:r>
              <w:rPr>
                <w:rFonts w:hint="eastAsia"/>
                <w:vertAlign w:val="baseline"/>
                <w:lang w:val="en-US" w:eastAsia="zh-CN"/>
              </w:rPr>
              <w:t>一组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pct"/>
            <w:vMerge w:val="restart"/>
          </w:tcPr>
          <w:p>
            <w:pPr>
              <w:jc w:val="center"/>
              <w:rPr>
                <w:rFonts w:hint="eastAsia" w:eastAsia="仿宋_GB2312"/>
                <w:vertAlign w:val="baseline"/>
                <w:lang w:val="en-US" w:eastAsia="zh-CN"/>
              </w:rPr>
            </w:pPr>
            <w:r>
              <w:rPr>
                <w:rFonts w:hint="eastAsia"/>
                <w:vertAlign w:val="baseline"/>
                <w:lang w:val="en-US" w:eastAsia="zh-CN"/>
              </w:rPr>
              <w:t>外语楼</w:t>
            </w:r>
          </w:p>
        </w:tc>
        <w:tc>
          <w:tcPr>
            <w:tcW w:w="614" w:type="pct"/>
          </w:tcPr>
          <w:p>
            <w:pPr>
              <w:jc w:val="center"/>
              <w:rPr>
                <w:rFonts w:hint="default"/>
                <w:vertAlign w:val="baseline"/>
                <w:lang w:val="en-US" w:eastAsia="zh-CN"/>
              </w:rPr>
            </w:pPr>
            <w:r>
              <w:rPr>
                <w:rFonts w:hint="eastAsia"/>
                <w:vertAlign w:val="baseline"/>
                <w:lang w:val="en-US" w:eastAsia="zh-CN"/>
              </w:rPr>
              <w:t>1-6</w:t>
            </w:r>
          </w:p>
        </w:tc>
        <w:tc>
          <w:tcPr>
            <w:tcW w:w="1110" w:type="pct"/>
          </w:tcPr>
          <w:p>
            <w:pPr>
              <w:jc w:val="center"/>
              <w:rPr>
                <w:rFonts w:hint="default"/>
                <w:vertAlign w:val="baseline"/>
                <w:lang w:val="en-US" w:eastAsia="zh-CN"/>
              </w:rPr>
            </w:pPr>
            <w:r>
              <w:rPr>
                <w:rFonts w:hint="eastAsia"/>
                <w:vertAlign w:val="baseline"/>
                <w:lang w:val="en-US" w:eastAsia="zh-CN"/>
              </w:rPr>
              <w:t>√</w:t>
            </w:r>
          </w:p>
        </w:tc>
        <w:tc>
          <w:tcPr>
            <w:tcW w:w="1138" w:type="pct"/>
          </w:tcPr>
          <w:p>
            <w:pPr>
              <w:jc w:val="center"/>
              <w:rPr>
                <w:rFonts w:hint="eastAsia" w:eastAsia="仿宋_GB2312"/>
                <w:vertAlign w:val="baseline"/>
                <w:lang w:val="en-US" w:eastAsia="zh-CN"/>
              </w:rPr>
            </w:pPr>
          </w:p>
        </w:tc>
        <w:tc>
          <w:tcPr>
            <w:tcW w:w="1410" w:type="pct"/>
          </w:tcPr>
          <w:p>
            <w:pPr>
              <w:jc w:val="center"/>
              <w:rPr>
                <w:rFonts w:hint="eastAsia" w:eastAsia="仿宋_GB2312"/>
                <w:vertAlign w:val="baseline"/>
                <w:lang w:val="en-US" w:eastAsia="zh-CN"/>
              </w:rPr>
            </w:pPr>
            <w:r>
              <w:rPr>
                <w:rFonts w:hint="eastAsia"/>
                <w:vertAlign w:val="baseline"/>
                <w:lang w:val="en-US" w:eastAsia="zh-CN"/>
              </w:rPr>
              <w:t>每层三组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pct"/>
            <w:vMerge w:val="continue"/>
          </w:tcPr>
          <w:p>
            <w:pPr>
              <w:jc w:val="center"/>
              <w:rPr>
                <w:rFonts w:hint="default"/>
                <w:vertAlign w:val="baseline"/>
                <w:lang w:val="en-US"/>
              </w:rPr>
            </w:pPr>
          </w:p>
        </w:tc>
        <w:tc>
          <w:tcPr>
            <w:tcW w:w="614" w:type="pct"/>
          </w:tcPr>
          <w:p>
            <w:pPr>
              <w:jc w:val="center"/>
              <w:rPr>
                <w:rFonts w:hint="default"/>
                <w:vertAlign w:val="baseline"/>
                <w:lang w:val="en-US" w:eastAsia="zh-CN"/>
              </w:rPr>
            </w:pPr>
            <w:r>
              <w:rPr>
                <w:rFonts w:hint="eastAsia"/>
                <w:vertAlign w:val="baseline"/>
                <w:lang w:val="en-US" w:eastAsia="zh-CN"/>
              </w:rPr>
              <w:t>1</w:t>
            </w:r>
          </w:p>
        </w:tc>
        <w:tc>
          <w:tcPr>
            <w:tcW w:w="1110" w:type="pct"/>
          </w:tcPr>
          <w:p>
            <w:pPr>
              <w:jc w:val="center"/>
              <w:rPr>
                <w:rFonts w:hint="default"/>
                <w:vertAlign w:val="baseline"/>
                <w:lang w:val="en-US" w:eastAsia="zh-CN"/>
              </w:rPr>
            </w:pPr>
          </w:p>
        </w:tc>
        <w:tc>
          <w:tcPr>
            <w:tcW w:w="1138" w:type="pct"/>
          </w:tcPr>
          <w:p>
            <w:pPr>
              <w:jc w:val="center"/>
              <w:rPr>
                <w:rFonts w:hint="default"/>
                <w:vertAlign w:val="baseline"/>
                <w:lang w:val="en-US"/>
              </w:rPr>
            </w:pPr>
            <w:r>
              <w:rPr>
                <w:rFonts w:hint="eastAsia"/>
                <w:vertAlign w:val="baseline"/>
                <w:lang w:val="en-US" w:eastAsia="zh-CN"/>
              </w:rPr>
              <w:t>√</w:t>
            </w:r>
          </w:p>
        </w:tc>
        <w:tc>
          <w:tcPr>
            <w:tcW w:w="1410" w:type="pct"/>
          </w:tcPr>
          <w:p>
            <w:pPr>
              <w:jc w:val="center"/>
              <w:rPr>
                <w:rFonts w:hint="default"/>
                <w:vertAlign w:val="baseline"/>
                <w:lang w:val="en-US"/>
              </w:rPr>
            </w:pPr>
            <w:r>
              <w:rPr>
                <w:rFonts w:hint="eastAsia"/>
                <w:vertAlign w:val="baseline"/>
                <w:lang w:val="en-US" w:eastAsia="zh-CN"/>
              </w:rPr>
              <w:t>一组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pct"/>
            <w:vMerge w:val="restart"/>
          </w:tcPr>
          <w:p>
            <w:pPr>
              <w:jc w:val="center"/>
              <w:rPr>
                <w:rFonts w:hint="eastAsia" w:eastAsia="仿宋_GB2312"/>
                <w:vertAlign w:val="baseline"/>
                <w:lang w:val="en-US" w:eastAsia="zh-CN"/>
              </w:rPr>
            </w:pPr>
            <w:r>
              <w:rPr>
                <w:rFonts w:hint="eastAsia"/>
                <w:vertAlign w:val="baseline"/>
                <w:lang w:val="en-US" w:eastAsia="zh-CN"/>
              </w:rPr>
              <w:t>图书馆</w:t>
            </w:r>
          </w:p>
        </w:tc>
        <w:tc>
          <w:tcPr>
            <w:tcW w:w="614" w:type="pct"/>
          </w:tcPr>
          <w:p>
            <w:pPr>
              <w:jc w:val="center"/>
              <w:rPr>
                <w:rFonts w:hint="default"/>
                <w:vertAlign w:val="baseline"/>
                <w:lang w:val="en-US" w:eastAsia="zh-CN"/>
              </w:rPr>
            </w:pPr>
            <w:r>
              <w:rPr>
                <w:rFonts w:hint="eastAsia"/>
                <w:vertAlign w:val="baseline"/>
                <w:lang w:val="en-US" w:eastAsia="zh-CN"/>
              </w:rPr>
              <w:t>1-6</w:t>
            </w:r>
          </w:p>
        </w:tc>
        <w:tc>
          <w:tcPr>
            <w:tcW w:w="1110" w:type="pct"/>
          </w:tcPr>
          <w:p>
            <w:pPr>
              <w:jc w:val="center"/>
              <w:rPr>
                <w:rFonts w:hint="default"/>
                <w:vertAlign w:val="baseline"/>
                <w:lang w:val="en-US" w:eastAsia="zh-CN"/>
              </w:rPr>
            </w:pPr>
            <w:r>
              <w:rPr>
                <w:rFonts w:hint="eastAsia"/>
                <w:vertAlign w:val="baseline"/>
                <w:lang w:val="en-US" w:eastAsia="zh-CN"/>
              </w:rPr>
              <w:t>√</w:t>
            </w:r>
          </w:p>
        </w:tc>
        <w:tc>
          <w:tcPr>
            <w:tcW w:w="1138" w:type="pct"/>
          </w:tcPr>
          <w:p>
            <w:pPr>
              <w:jc w:val="center"/>
              <w:rPr>
                <w:rFonts w:hint="eastAsia" w:eastAsia="仿宋_GB2312"/>
                <w:vertAlign w:val="baseline"/>
                <w:lang w:val="en-US" w:eastAsia="zh-CN"/>
              </w:rPr>
            </w:pPr>
          </w:p>
        </w:tc>
        <w:tc>
          <w:tcPr>
            <w:tcW w:w="1410" w:type="pct"/>
          </w:tcPr>
          <w:p>
            <w:pPr>
              <w:jc w:val="center"/>
              <w:rPr>
                <w:rFonts w:hint="default"/>
                <w:vertAlign w:val="baseline"/>
                <w:lang w:val="en-US"/>
              </w:rPr>
            </w:pPr>
            <w:r>
              <w:rPr>
                <w:rFonts w:hint="eastAsia"/>
                <w:vertAlign w:val="baseline"/>
                <w:lang w:val="en-US" w:eastAsia="zh-CN"/>
              </w:rPr>
              <w:t>每层三组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pct"/>
            <w:vMerge w:val="continue"/>
          </w:tcPr>
          <w:p>
            <w:pPr>
              <w:jc w:val="center"/>
              <w:rPr>
                <w:rFonts w:hint="default"/>
                <w:vertAlign w:val="baseline"/>
                <w:lang w:val="en-US"/>
              </w:rPr>
            </w:pPr>
          </w:p>
        </w:tc>
        <w:tc>
          <w:tcPr>
            <w:tcW w:w="614" w:type="pct"/>
          </w:tcPr>
          <w:p>
            <w:pPr>
              <w:jc w:val="center"/>
              <w:rPr>
                <w:rFonts w:hint="default"/>
                <w:vertAlign w:val="baseline"/>
                <w:lang w:val="en-US" w:eastAsia="zh-CN"/>
              </w:rPr>
            </w:pPr>
            <w:r>
              <w:rPr>
                <w:rFonts w:hint="eastAsia"/>
                <w:vertAlign w:val="baseline"/>
                <w:lang w:val="en-US" w:eastAsia="zh-CN"/>
              </w:rPr>
              <w:t>1</w:t>
            </w:r>
          </w:p>
        </w:tc>
        <w:tc>
          <w:tcPr>
            <w:tcW w:w="1110" w:type="pct"/>
          </w:tcPr>
          <w:p>
            <w:pPr>
              <w:jc w:val="center"/>
              <w:rPr>
                <w:rFonts w:hint="default"/>
                <w:vertAlign w:val="baseline"/>
                <w:lang w:val="en-US" w:eastAsia="zh-CN"/>
              </w:rPr>
            </w:pPr>
          </w:p>
        </w:tc>
        <w:tc>
          <w:tcPr>
            <w:tcW w:w="1138" w:type="pct"/>
          </w:tcPr>
          <w:p>
            <w:pPr>
              <w:jc w:val="center"/>
              <w:rPr>
                <w:rFonts w:hint="eastAsia" w:eastAsia="仿宋_GB2312"/>
                <w:vertAlign w:val="baseline"/>
                <w:lang w:val="en-US" w:eastAsia="zh-CN"/>
              </w:rPr>
            </w:pPr>
            <w:r>
              <w:rPr>
                <w:rFonts w:hint="eastAsia"/>
                <w:vertAlign w:val="baseline"/>
                <w:lang w:val="en-US" w:eastAsia="zh-CN"/>
              </w:rPr>
              <w:t>√</w:t>
            </w:r>
          </w:p>
        </w:tc>
        <w:tc>
          <w:tcPr>
            <w:tcW w:w="1410" w:type="pct"/>
          </w:tcPr>
          <w:p>
            <w:pPr>
              <w:jc w:val="center"/>
              <w:rPr>
                <w:rFonts w:hint="default"/>
                <w:vertAlign w:val="baseline"/>
                <w:lang w:val="en-US"/>
              </w:rPr>
            </w:pPr>
            <w:r>
              <w:rPr>
                <w:rFonts w:hint="eastAsia"/>
                <w:vertAlign w:val="baseline"/>
                <w:lang w:val="en-US" w:eastAsia="zh-CN"/>
              </w:rPr>
              <w:t>一组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pct"/>
          </w:tcPr>
          <w:p>
            <w:pPr>
              <w:jc w:val="center"/>
              <w:rPr>
                <w:rFonts w:hint="eastAsia" w:eastAsia="仿宋_GB2312"/>
                <w:vertAlign w:val="baseline"/>
                <w:lang w:val="en-US" w:eastAsia="zh-CN"/>
              </w:rPr>
            </w:pPr>
            <w:r>
              <w:rPr>
                <w:rFonts w:hint="eastAsia"/>
                <w:vertAlign w:val="baseline"/>
                <w:lang w:val="en-US" w:eastAsia="zh-CN"/>
              </w:rPr>
              <w:t>弘德楼</w:t>
            </w:r>
          </w:p>
        </w:tc>
        <w:tc>
          <w:tcPr>
            <w:tcW w:w="614" w:type="pct"/>
          </w:tcPr>
          <w:p>
            <w:pPr>
              <w:jc w:val="center"/>
              <w:rPr>
                <w:rFonts w:hint="default"/>
                <w:vertAlign w:val="baseline"/>
                <w:lang w:val="en-US" w:eastAsia="zh-CN"/>
              </w:rPr>
            </w:pPr>
            <w:r>
              <w:rPr>
                <w:rFonts w:hint="eastAsia"/>
                <w:vertAlign w:val="baseline"/>
                <w:lang w:val="en-US" w:eastAsia="zh-CN"/>
              </w:rPr>
              <w:t>1</w:t>
            </w:r>
          </w:p>
        </w:tc>
        <w:tc>
          <w:tcPr>
            <w:tcW w:w="1110" w:type="pct"/>
          </w:tcPr>
          <w:p>
            <w:pPr>
              <w:jc w:val="center"/>
              <w:rPr>
                <w:rFonts w:hint="default"/>
                <w:vertAlign w:val="baseline"/>
                <w:lang w:val="en-US" w:eastAsia="zh-CN"/>
              </w:rPr>
            </w:pPr>
          </w:p>
        </w:tc>
        <w:tc>
          <w:tcPr>
            <w:tcW w:w="1138" w:type="pct"/>
          </w:tcPr>
          <w:p>
            <w:pPr>
              <w:jc w:val="center"/>
              <w:rPr>
                <w:rFonts w:hint="eastAsia" w:eastAsia="仿宋_GB2312"/>
                <w:vertAlign w:val="baseline"/>
                <w:lang w:val="en-US" w:eastAsia="zh-CN"/>
              </w:rPr>
            </w:pPr>
            <w:r>
              <w:rPr>
                <w:rFonts w:hint="eastAsia"/>
                <w:vertAlign w:val="baseline"/>
                <w:lang w:val="en-US" w:eastAsia="zh-CN"/>
              </w:rPr>
              <w:t>√</w:t>
            </w:r>
          </w:p>
        </w:tc>
        <w:tc>
          <w:tcPr>
            <w:tcW w:w="1410" w:type="pct"/>
          </w:tcPr>
          <w:p>
            <w:pPr>
              <w:jc w:val="center"/>
              <w:rPr>
                <w:rFonts w:hint="default"/>
                <w:vertAlign w:val="baseline"/>
                <w:lang w:val="en-US"/>
              </w:rPr>
            </w:pPr>
            <w:r>
              <w:rPr>
                <w:rFonts w:hint="eastAsia"/>
                <w:vertAlign w:val="baseline"/>
                <w:lang w:val="en-US" w:eastAsia="zh-CN"/>
              </w:rPr>
              <w:t>一组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pct"/>
          </w:tcPr>
          <w:p>
            <w:pPr>
              <w:jc w:val="center"/>
              <w:rPr>
                <w:rFonts w:hint="eastAsia"/>
                <w:vertAlign w:val="baseline"/>
                <w:lang w:val="en-US" w:eastAsia="zh-CN"/>
              </w:rPr>
            </w:pPr>
          </w:p>
        </w:tc>
        <w:tc>
          <w:tcPr>
            <w:tcW w:w="614" w:type="pct"/>
          </w:tcPr>
          <w:p>
            <w:pPr>
              <w:jc w:val="center"/>
              <w:rPr>
                <w:rFonts w:hint="default"/>
                <w:vertAlign w:val="baseline"/>
                <w:lang w:val="en-US" w:eastAsia="zh-CN"/>
              </w:rPr>
            </w:pPr>
            <w:r>
              <w:rPr>
                <w:rFonts w:hint="eastAsia"/>
                <w:vertAlign w:val="baseline"/>
                <w:lang w:val="en-US" w:eastAsia="zh-CN"/>
              </w:rPr>
              <w:t>3</w:t>
            </w:r>
          </w:p>
        </w:tc>
        <w:tc>
          <w:tcPr>
            <w:tcW w:w="1110" w:type="pct"/>
          </w:tcPr>
          <w:p>
            <w:pPr>
              <w:jc w:val="center"/>
              <w:rPr>
                <w:rFonts w:hint="default"/>
                <w:vertAlign w:val="baseline"/>
                <w:lang w:val="en-US" w:eastAsia="zh-CN"/>
              </w:rPr>
            </w:pPr>
            <w:r>
              <w:rPr>
                <w:rFonts w:hint="eastAsia"/>
                <w:vertAlign w:val="baseline"/>
                <w:lang w:val="en-US" w:eastAsia="zh-CN"/>
              </w:rPr>
              <w:t>√</w:t>
            </w:r>
          </w:p>
        </w:tc>
        <w:tc>
          <w:tcPr>
            <w:tcW w:w="1138" w:type="pct"/>
          </w:tcPr>
          <w:p>
            <w:pPr>
              <w:jc w:val="center"/>
              <w:rPr>
                <w:rFonts w:hint="eastAsia"/>
                <w:vertAlign w:val="baseline"/>
                <w:lang w:val="en-US" w:eastAsia="zh-CN"/>
              </w:rPr>
            </w:pPr>
          </w:p>
        </w:tc>
        <w:tc>
          <w:tcPr>
            <w:tcW w:w="1410" w:type="pct"/>
          </w:tcPr>
          <w:p>
            <w:pPr>
              <w:jc w:val="center"/>
              <w:rPr>
                <w:rFonts w:hint="eastAsia" w:eastAsia="仿宋_GB2312"/>
                <w:vertAlign w:val="baseline"/>
                <w:lang w:val="en-US" w:eastAsia="zh-CN"/>
              </w:rPr>
            </w:pPr>
            <w:r>
              <w:rPr>
                <w:rFonts w:hint="eastAsia"/>
                <w:vertAlign w:val="baseline"/>
                <w:lang w:val="en-US" w:eastAsia="zh-CN"/>
              </w:rPr>
              <w:t>创业基地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pct"/>
          </w:tcPr>
          <w:p>
            <w:pPr>
              <w:jc w:val="center"/>
              <w:rPr>
                <w:rFonts w:hint="eastAsia"/>
                <w:vertAlign w:val="baseline"/>
                <w:lang w:val="en-US" w:eastAsia="zh-CN"/>
              </w:rPr>
            </w:pPr>
            <w:r>
              <w:rPr>
                <w:rFonts w:hint="eastAsia"/>
                <w:vertAlign w:val="baseline"/>
                <w:lang w:val="en-US" w:eastAsia="zh-CN"/>
              </w:rPr>
              <w:t>体育馆</w:t>
            </w:r>
          </w:p>
        </w:tc>
        <w:tc>
          <w:tcPr>
            <w:tcW w:w="614" w:type="pct"/>
          </w:tcPr>
          <w:p>
            <w:pPr>
              <w:jc w:val="center"/>
              <w:rPr>
                <w:rFonts w:hint="default"/>
                <w:vertAlign w:val="baseline"/>
                <w:lang w:val="en-US" w:eastAsia="zh-CN"/>
              </w:rPr>
            </w:pPr>
            <w:r>
              <w:rPr>
                <w:rFonts w:hint="eastAsia"/>
                <w:vertAlign w:val="baseline"/>
                <w:lang w:val="en-US" w:eastAsia="zh-CN"/>
              </w:rPr>
              <w:t>1</w:t>
            </w:r>
          </w:p>
        </w:tc>
        <w:tc>
          <w:tcPr>
            <w:tcW w:w="1110" w:type="pct"/>
          </w:tcPr>
          <w:p>
            <w:pPr>
              <w:jc w:val="center"/>
              <w:rPr>
                <w:rFonts w:hint="eastAsia"/>
                <w:vertAlign w:val="baseline"/>
                <w:lang w:val="en-US" w:eastAsia="zh-CN"/>
              </w:rPr>
            </w:pPr>
          </w:p>
        </w:tc>
        <w:tc>
          <w:tcPr>
            <w:tcW w:w="1138" w:type="pct"/>
          </w:tcPr>
          <w:p>
            <w:pPr>
              <w:jc w:val="center"/>
              <w:rPr>
                <w:rFonts w:hint="default"/>
                <w:vertAlign w:val="baseline"/>
                <w:lang w:val="en-US" w:eastAsia="zh-CN"/>
              </w:rPr>
            </w:pPr>
            <w:r>
              <w:rPr>
                <w:rFonts w:hint="eastAsia"/>
                <w:vertAlign w:val="baseline"/>
                <w:lang w:val="en-US" w:eastAsia="zh-CN"/>
              </w:rPr>
              <w:t>√</w:t>
            </w:r>
          </w:p>
        </w:tc>
        <w:tc>
          <w:tcPr>
            <w:tcW w:w="1410" w:type="pct"/>
          </w:tcPr>
          <w:p>
            <w:pPr>
              <w:jc w:val="center"/>
              <w:rPr>
                <w:rFonts w:hint="default"/>
                <w:vertAlign w:val="baseline"/>
                <w:lang w:val="en-US"/>
              </w:rPr>
            </w:pPr>
            <w:r>
              <w:rPr>
                <w:rFonts w:hint="eastAsia"/>
                <w:vertAlign w:val="baseline"/>
                <w:lang w:val="en-US" w:eastAsia="zh-CN"/>
              </w:rPr>
              <w:t>一组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pct"/>
          </w:tcPr>
          <w:p>
            <w:pPr>
              <w:jc w:val="center"/>
              <w:rPr>
                <w:rFonts w:hint="eastAsia"/>
                <w:vertAlign w:val="baseline"/>
                <w:lang w:val="en-US" w:eastAsia="zh-CN"/>
              </w:rPr>
            </w:pPr>
            <w:r>
              <w:rPr>
                <w:rFonts w:hint="eastAsia"/>
                <w:vertAlign w:val="baseline"/>
                <w:lang w:val="en-US" w:eastAsia="zh-CN"/>
              </w:rPr>
              <w:t>一、二食堂</w:t>
            </w:r>
          </w:p>
        </w:tc>
        <w:tc>
          <w:tcPr>
            <w:tcW w:w="614" w:type="pct"/>
          </w:tcPr>
          <w:p>
            <w:pPr>
              <w:jc w:val="center"/>
              <w:rPr>
                <w:rFonts w:hint="eastAsia"/>
                <w:vertAlign w:val="baseline"/>
                <w:lang w:val="en-US" w:eastAsia="zh-CN"/>
              </w:rPr>
            </w:pPr>
          </w:p>
        </w:tc>
        <w:tc>
          <w:tcPr>
            <w:tcW w:w="1110" w:type="pct"/>
            <w:vAlign w:val="center"/>
          </w:tcPr>
          <w:p>
            <w:pPr>
              <w:jc w:val="center"/>
              <w:rPr>
                <w:rFonts w:hint="default"/>
                <w:vertAlign w:val="baseline"/>
                <w:lang w:val="en-US" w:eastAsia="zh-CN"/>
              </w:rPr>
            </w:pPr>
            <w:r>
              <w:rPr>
                <w:rFonts w:hint="eastAsia"/>
                <w:vertAlign w:val="baseline"/>
                <w:lang w:val="en-US" w:eastAsia="zh-CN"/>
              </w:rPr>
              <w:t>√</w:t>
            </w:r>
          </w:p>
        </w:tc>
        <w:tc>
          <w:tcPr>
            <w:tcW w:w="1138" w:type="pct"/>
          </w:tcPr>
          <w:p>
            <w:pPr>
              <w:jc w:val="center"/>
              <w:rPr>
                <w:rFonts w:hint="eastAsia"/>
                <w:vertAlign w:val="baseline"/>
                <w:lang w:val="en-US" w:eastAsia="zh-CN"/>
              </w:rPr>
            </w:pPr>
          </w:p>
        </w:tc>
        <w:tc>
          <w:tcPr>
            <w:tcW w:w="1410" w:type="pct"/>
          </w:tcPr>
          <w:p>
            <w:pPr>
              <w:jc w:val="center"/>
              <w:rPr>
                <w:rFonts w:hint="default" w:eastAsia="仿宋_GB2312"/>
                <w:vertAlign w:val="baseline"/>
                <w:lang w:val="en-US" w:eastAsia="zh-CN"/>
              </w:rPr>
            </w:pPr>
            <w:r>
              <w:rPr>
                <w:rFonts w:hint="eastAsia"/>
                <w:vertAlign w:val="baseline"/>
                <w:lang w:val="en-US" w:eastAsia="zh-CN"/>
              </w:rPr>
              <w:t>可回收15个 厨余15个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pct"/>
          </w:tcPr>
          <w:p>
            <w:pPr>
              <w:jc w:val="center"/>
              <w:rPr>
                <w:rFonts w:hint="eastAsia"/>
                <w:vertAlign w:val="baseline"/>
                <w:lang w:val="en-US" w:eastAsia="zh-CN"/>
              </w:rPr>
            </w:pPr>
            <w:r>
              <w:rPr>
                <w:rFonts w:hint="eastAsia"/>
                <w:vertAlign w:val="baseline"/>
                <w:lang w:val="en-US" w:eastAsia="zh-CN"/>
              </w:rPr>
              <w:t>学生寝室</w:t>
            </w:r>
          </w:p>
        </w:tc>
        <w:tc>
          <w:tcPr>
            <w:tcW w:w="4274" w:type="pct"/>
            <w:gridSpan w:val="4"/>
          </w:tcPr>
          <w:p>
            <w:pPr>
              <w:tabs>
                <w:tab w:val="left" w:pos="1760"/>
              </w:tabs>
              <w:jc w:val="left"/>
              <w:rPr>
                <w:rFonts w:hint="eastAsia"/>
                <w:vertAlign w:val="baseline"/>
                <w:lang w:val="en-US" w:eastAsia="zh-CN"/>
              </w:rPr>
            </w:pPr>
            <w:r>
              <w:rPr>
                <w:rFonts w:hint="eastAsia"/>
                <w:vertAlign w:val="baseline"/>
                <w:lang w:val="en-US" w:eastAsia="zh-CN"/>
              </w:rPr>
              <w:tab/>
            </w:r>
            <w:r>
              <w:rPr>
                <w:rFonts w:hint="eastAsia"/>
                <w:vertAlign w:val="baseline"/>
                <w:lang w:val="en-US" w:eastAsia="zh-CN"/>
              </w:rPr>
              <w:t>每栋宿舍楼下设置四分类垃圾桶</w:t>
            </w:r>
          </w:p>
        </w:tc>
      </w:tr>
    </w:tbl>
    <w:p>
      <w:pPr>
        <w:rPr>
          <w:rFonts w:hint="eastAsia"/>
          <w:sz w:val="28"/>
          <w:szCs w:val="28"/>
          <w:lang w:val="en-US" w:eastAsia="zh-CN"/>
        </w:rPr>
      </w:pPr>
      <w:r>
        <w:rPr>
          <w:rFonts w:hint="eastAsia"/>
          <w:sz w:val="28"/>
          <w:szCs w:val="28"/>
          <w:lang w:val="en-US" w:eastAsia="zh-CN"/>
        </w:rPr>
        <w:t>注：两分类为可回收、其它两个垃圾容器；四分类为可回收、其它、厨余、有害四个垃圾容器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Hans"/>
        </w:rPr>
      </w:pPr>
      <w:bookmarkStart w:id="0" w:name="_GoBack"/>
      <w:bookmarkEnd w:id="0"/>
    </w:p>
    <w:p>
      <w:pPr>
        <w:spacing w:line="520" w:lineRule="exact"/>
        <w:ind w:firstLine="640" w:firstLineChars="200"/>
        <w:jc w:val="left"/>
        <w:rPr>
          <w:rFonts w:hint="eastAsia" w:ascii="仿宋_GB2312" w:hAnsi="Times New Roman" w:eastAsia="仿宋_GB2312"/>
          <w:b w:val="0"/>
          <w:bCs w:val="0"/>
          <w:sz w:val="32"/>
          <w:szCs w:val="32"/>
          <w:lang w:val="en-US" w:eastAsia="zh-CN"/>
        </w:rPr>
      </w:pPr>
    </w:p>
    <w:p>
      <w:pPr>
        <w:spacing w:line="520" w:lineRule="exact"/>
        <w:ind w:firstLine="643" w:firstLineChars="200"/>
        <w:jc w:val="center"/>
        <w:rPr>
          <w:rFonts w:hint="eastAsia" w:ascii="仿宋_GB2312" w:hAnsi="仿宋_GB2312" w:eastAsia="仿宋_GB2312" w:cs="仿宋_GB2312"/>
          <w:sz w:val="32"/>
          <w:szCs w:val="32"/>
          <w:lang w:eastAsia="zh-CN"/>
        </w:rPr>
      </w:pPr>
      <w:r>
        <w:rPr>
          <w:rFonts w:hint="eastAsia" w:ascii="仿宋_GB2312" w:hAnsi="Times New Roman" w:eastAsia="仿宋_GB2312"/>
          <w:b/>
          <w:bCs/>
          <w:sz w:val="32"/>
          <w:szCs w:val="32"/>
          <w:lang w:val="en-US" w:eastAsia="zh-CN"/>
        </w:rPr>
        <w:t>五、垃圾减量，我们可以做更多</w:t>
      </w:r>
    </w:p>
    <w:p>
      <w:pPr>
        <w:spacing w:line="520" w:lineRule="exac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（一）</w:t>
      </w:r>
      <w:r>
        <w:rPr>
          <w:rFonts w:hint="eastAsia" w:ascii="仿宋_GB2312" w:hAnsi="仿宋_GB2312" w:eastAsia="仿宋_GB2312" w:cs="仿宋_GB2312"/>
          <w:sz w:val="32"/>
          <w:szCs w:val="32"/>
        </w:rPr>
        <w:t>加快学校的信息化建设步伐，强化信息化</w:t>
      </w:r>
      <w:r>
        <w:rPr>
          <w:rFonts w:hint="eastAsia" w:ascii="仿宋_GB2312" w:hAnsi="仿宋_GB2312" w:eastAsia="仿宋_GB2312" w:cs="仿宋_GB2312"/>
          <w:sz w:val="32"/>
          <w:szCs w:val="32"/>
          <w:lang w:eastAsia="zh-CN"/>
        </w:rPr>
        <w:t>学习、</w:t>
      </w:r>
      <w:r>
        <w:rPr>
          <w:rFonts w:hint="eastAsia" w:ascii="仿宋_GB2312" w:hAnsi="仿宋_GB2312" w:eastAsia="仿宋_GB2312" w:cs="仿宋_GB2312"/>
          <w:sz w:val="32"/>
          <w:szCs w:val="32"/>
        </w:rPr>
        <w:t>办公模式，减少纸质文档的使用，提高废旧纸张、文具的二次使用率，节约资源</w:t>
      </w:r>
      <w:r>
        <w:rPr>
          <w:rFonts w:hint="eastAsia" w:ascii="仿宋_GB2312" w:hAnsi="仿宋_GB2312" w:eastAsia="仿宋_GB2312" w:cs="仿宋_GB2312"/>
          <w:sz w:val="32"/>
          <w:szCs w:val="32"/>
          <w:lang w:eastAsia="zh-CN"/>
        </w:rPr>
        <w:t>，全校师生合力打造无纸校园。</w:t>
      </w:r>
    </w:p>
    <w:p>
      <w:pPr>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（二）深入推动创建“</w:t>
      </w:r>
      <w:r>
        <w:rPr>
          <w:rFonts w:hint="eastAsia" w:ascii="仿宋_GB2312" w:hAnsi="仿宋_GB2312" w:eastAsia="仿宋_GB2312" w:cs="仿宋_GB2312"/>
          <w:sz w:val="32"/>
          <w:szCs w:val="32"/>
        </w:rPr>
        <w:t>绿色寝室</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以宿舍为基本单位，在“垃圾下楼”“垃圾分类”工作基础上，从寝室内便开始全面落实垃圾分类工作；安排学生志愿者等适当巡视和定期清理，进一步减少学生宿舍的安全隐患和乱涂乱画、张贴小广告等不文明现象；围绕“文明寝室”“节能寝室”“环保寝室”等开展创建工作，实现日常生活环境的“美化”。</w:t>
      </w:r>
    </w:p>
    <w:p>
      <w:pPr>
        <w:numPr>
          <w:ilvl w:val="0"/>
          <w:numId w:val="0"/>
        </w:numPr>
        <w:spacing w:line="520" w:lineRule="exact"/>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（三）深入</w:t>
      </w:r>
      <w:r>
        <w:rPr>
          <w:rFonts w:hint="eastAsia" w:ascii="仿宋_GB2312" w:hAnsi="仿宋_GB2312" w:eastAsia="仿宋_GB2312" w:cs="仿宋_GB2312"/>
          <w:sz w:val="32"/>
          <w:szCs w:val="32"/>
        </w:rPr>
        <w:t>推动创建“绿色食堂”。全面持续开展“光盘行动”，引导广大学生节约资源，不浪费粮食；提倡大家尽量使用自带餐具和公共餐具，减少一次性餐具使用率。</w:t>
      </w:r>
    </w:p>
    <w:p>
      <w:pPr>
        <w:numPr>
          <w:ilvl w:val="0"/>
          <w:numId w:val="0"/>
        </w:numPr>
        <w:spacing w:line="520" w:lineRule="exact"/>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（四）</w:t>
      </w:r>
      <w:r>
        <w:rPr>
          <w:rFonts w:hint="eastAsia" w:ascii="仿宋_GB2312" w:hAnsi="仿宋_GB2312" w:eastAsia="仿宋_GB2312" w:cs="仿宋_GB2312"/>
          <w:sz w:val="32"/>
          <w:szCs w:val="32"/>
          <w:lang w:eastAsia="zh-CN"/>
        </w:rPr>
        <w:t>不用的衣服等物品进行捐赠；购物时自备环保袋；分出可回收物品单独存放并变卖给废品回收部门；尽量使用可重复使用的耐用品（如充电式电池等），避免使用一次性用品等。</w:t>
      </w:r>
    </w:p>
    <w:p>
      <w:pPr>
        <w:keepNext w:val="0"/>
        <w:keepLines w:val="0"/>
        <w:widowControl/>
        <w:suppressLineNumbers w:val="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（五）购买并使用有中国环境标志、循环利用标志和中国节能认证标志的商品。</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2334260" cy="911225"/>
            <wp:effectExtent l="0" t="0" r="8890" b="3175"/>
            <wp:docPr id="24"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56"/>
                    <pic:cNvPicPr>
                      <a:picLocks noChangeAspect="1"/>
                    </pic:cNvPicPr>
                  </pic:nvPicPr>
                  <pic:blipFill>
                    <a:blip r:embed="rId18"/>
                    <a:stretch>
                      <a:fillRect/>
                    </a:stretch>
                  </pic:blipFill>
                  <pic:spPr>
                    <a:xfrm>
                      <a:off x="0" y="0"/>
                      <a:ext cx="2334260" cy="911225"/>
                    </a:xfrm>
                    <a:prstGeom prst="rect">
                      <a:avLst/>
                    </a:prstGeom>
                    <a:noFill/>
                    <a:ln w="9525">
                      <a:noFill/>
                    </a:ln>
                  </pic:spPr>
                </pic:pic>
              </a:graphicData>
            </a:graphic>
          </wp:inline>
        </w:drawing>
      </w:r>
    </w:p>
    <w:p>
      <w:pPr>
        <w:numPr>
          <w:ilvl w:val="0"/>
          <w:numId w:val="0"/>
        </w:numPr>
        <w:spacing w:line="520" w:lineRule="exact"/>
        <w:rPr>
          <w:rFonts w:ascii="仿宋_GB2312" w:hAnsi="仿宋_GB2312" w:eastAsia="仿宋_GB2312" w:cs="仿宋_GB2312"/>
          <w:sz w:val="32"/>
          <w:szCs w:val="32"/>
        </w:rPr>
      </w:pPr>
    </w:p>
    <w:p>
      <w:pPr>
        <w:keepNext w:val="0"/>
        <w:keepLines w:val="0"/>
        <w:widowControl/>
        <w:numPr>
          <w:ilvl w:val="0"/>
          <w:numId w:val="0"/>
        </w:numPr>
        <w:suppressLineNumbers w:val="0"/>
        <w:ind w:leftChars="0"/>
        <w:jc w:val="left"/>
        <w:rPr>
          <w:rFonts w:hint="eastAsia" w:ascii="宋体" w:hAnsi="宋体" w:eastAsia="宋体" w:cs="宋体"/>
          <w:kern w:val="0"/>
          <w:sz w:val="24"/>
          <w:szCs w:val="24"/>
          <w:lang w:val="en-US" w:eastAsia="zh-CN" w:bidi="ar"/>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68E7230"/>
    <w:rsid w:val="026F746C"/>
    <w:rsid w:val="0FC216B6"/>
    <w:rsid w:val="12110824"/>
    <w:rsid w:val="1CC82ABE"/>
    <w:rsid w:val="2E2E23F2"/>
    <w:rsid w:val="3B787837"/>
    <w:rsid w:val="3EAA5AE0"/>
    <w:rsid w:val="3EF7327B"/>
    <w:rsid w:val="474F1072"/>
    <w:rsid w:val="661D6183"/>
    <w:rsid w:val="74136E42"/>
    <w:rsid w:val="768E7230"/>
    <w:rsid w:val="7D12501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
    <w:name w:val="段"/>
    <w:next w:val="1"/>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2020-08-18T10:43:00Z</dcterms:created>
  <dc:creator>Administrator</dc:creator>
  <cp:lastModifiedBy>ylittle1411460295</cp:lastModifiedBy>
  <dcterms:modified xsi:type="dcterms:W3CDTF">2020-09-04T03:25:18Z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